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F4D54" w14:textId="2F733319" w:rsidR="007C07F6" w:rsidRDefault="00FD3F48" w:rsidP="008743C0">
      <w:pPr>
        <w:pStyle w:val="NoSpacing"/>
        <w:rPr>
          <w:sz w:val="22"/>
          <w:szCs w:val="22"/>
        </w:rPr>
      </w:pPr>
      <w:r>
        <w:rPr>
          <w:noProof/>
        </w:rPr>
        <w:drawing>
          <wp:anchor distT="0" distB="0" distL="114300" distR="114300" simplePos="0" relativeHeight="251668480" behindDoc="0" locked="0" layoutInCell="1" allowOverlap="1" wp14:anchorId="788B63A3" wp14:editId="1B9DD780">
            <wp:simplePos x="0" y="0"/>
            <wp:positionH relativeFrom="margin">
              <wp:posOffset>5134610</wp:posOffset>
            </wp:positionH>
            <wp:positionV relativeFrom="paragraph">
              <wp:posOffset>-685800</wp:posOffset>
            </wp:positionV>
            <wp:extent cx="742950" cy="710389"/>
            <wp:effectExtent l="0" t="0" r="0" b="0"/>
            <wp:wrapNone/>
            <wp:docPr id="996267795" name="Picture 996267795" descr="A logo for food service packaging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67795" name="Picture 996267795" descr="A logo for food service packaging institut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1038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03DB5B7A" wp14:editId="6824EAE1">
            <wp:simplePos x="0" y="0"/>
            <wp:positionH relativeFrom="column">
              <wp:posOffset>3648075</wp:posOffset>
            </wp:positionH>
            <wp:positionV relativeFrom="paragraph">
              <wp:posOffset>-647700</wp:posOffset>
            </wp:positionV>
            <wp:extent cx="1072447" cy="723900"/>
            <wp:effectExtent l="0" t="0" r="0" b="0"/>
            <wp:wrapNone/>
            <wp:docPr id="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2447"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1756C98" wp14:editId="1E607A25">
            <wp:simplePos x="0" y="0"/>
            <wp:positionH relativeFrom="margin">
              <wp:posOffset>2105025</wp:posOffset>
            </wp:positionH>
            <wp:positionV relativeFrom="paragraph">
              <wp:posOffset>-694690</wp:posOffset>
            </wp:positionV>
            <wp:extent cx="1310639" cy="819150"/>
            <wp:effectExtent l="0" t="0" r="4445" b="0"/>
            <wp:wrapNone/>
            <wp:docPr id="1757097260" name="Picture 1" descr="Can Manufacturers Institute Company Profile | Recycling Produc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 Manufacturers Institute Company Profile | Recycling Product New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0639"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2BC43802" wp14:editId="76DD68EC">
            <wp:simplePos x="0" y="0"/>
            <wp:positionH relativeFrom="column">
              <wp:posOffset>1095375</wp:posOffset>
            </wp:positionH>
            <wp:positionV relativeFrom="paragraph">
              <wp:posOffset>-626030</wp:posOffset>
            </wp:positionV>
            <wp:extent cx="600701" cy="685800"/>
            <wp:effectExtent l="0" t="0" r="9525" b="0"/>
            <wp:wrapNone/>
            <wp:docPr id="1457868901" name="Picture 1" descr="A logo with a green and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68901" name="Picture 1" descr="A logo with a green and white desig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701"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71A4245" wp14:editId="16A9EEA8">
            <wp:simplePos x="0" y="0"/>
            <wp:positionH relativeFrom="margin">
              <wp:posOffset>-323215</wp:posOffset>
            </wp:positionH>
            <wp:positionV relativeFrom="paragraph">
              <wp:posOffset>-619125</wp:posOffset>
            </wp:positionV>
            <wp:extent cx="938746" cy="676275"/>
            <wp:effectExtent l="0" t="0" r="0" b="0"/>
            <wp:wrapNone/>
            <wp:docPr id="11" name="Picture 11" descr="https://www.americanchemistry.com/Media/Multimedia/Syscom.GM.Web.Content.axd?d=SqPJSBJ9Vo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mericanchemistry.com/Media/Multimedia/Syscom.GM.Web.Content.axd?d=SqPJSBJ9Voo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938746"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CF68F" w14:textId="76842069" w:rsidR="007C07F6" w:rsidRDefault="00FD3F48" w:rsidP="008743C0">
      <w:pPr>
        <w:pStyle w:val="NoSpacing"/>
        <w:rPr>
          <w:sz w:val="22"/>
          <w:szCs w:val="22"/>
        </w:rPr>
      </w:pPr>
      <w:r>
        <w:rPr>
          <w:noProof/>
        </w:rPr>
        <w:drawing>
          <wp:anchor distT="0" distB="0" distL="114300" distR="114300" simplePos="0" relativeHeight="251674624" behindDoc="0" locked="0" layoutInCell="1" allowOverlap="1" wp14:anchorId="6E9C05BC" wp14:editId="6BADCE25">
            <wp:simplePos x="0" y="0"/>
            <wp:positionH relativeFrom="margin">
              <wp:posOffset>4161790</wp:posOffset>
            </wp:positionH>
            <wp:positionV relativeFrom="paragraph">
              <wp:posOffset>12065</wp:posOffset>
            </wp:positionV>
            <wp:extent cx="1133475" cy="447724"/>
            <wp:effectExtent l="0" t="0" r="0" b="9525"/>
            <wp:wrapNone/>
            <wp:docPr id="31863910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39101" name="Picture 1" descr="A close up of a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44772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6D4CADED" wp14:editId="2C7746A1">
            <wp:simplePos x="0" y="0"/>
            <wp:positionH relativeFrom="column">
              <wp:posOffset>-314325</wp:posOffset>
            </wp:positionH>
            <wp:positionV relativeFrom="paragraph">
              <wp:posOffset>88265</wp:posOffset>
            </wp:positionV>
            <wp:extent cx="1114425" cy="466725"/>
            <wp:effectExtent l="0" t="0" r="9525" b="0"/>
            <wp:wrapNone/>
            <wp:docPr id="1" name="Picture 1" descr="A logo with a su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sun and tex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44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49F2DB" w14:textId="2831583B" w:rsidR="00906F41" w:rsidRDefault="00FD3F48" w:rsidP="008743C0">
      <w:pPr>
        <w:pStyle w:val="NoSpacing"/>
        <w:rPr>
          <w:sz w:val="22"/>
          <w:szCs w:val="22"/>
        </w:rPr>
      </w:pPr>
      <w:r>
        <w:rPr>
          <w:noProof/>
        </w:rPr>
        <w:drawing>
          <wp:anchor distT="0" distB="0" distL="114300" distR="114300" simplePos="0" relativeHeight="251677696" behindDoc="0" locked="0" layoutInCell="1" allowOverlap="1" wp14:anchorId="0981D449" wp14:editId="6A6AECAA">
            <wp:simplePos x="0" y="0"/>
            <wp:positionH relativeFrom="margin">
              <wp:posOffset>5505450</wp:posOffset>
            </wp:positionH>
            <wp:positionV relativeFrom="paragraph">
              <wp:posOffset>11430</wp:posOffset>
            </wp:positionV>
            <wp:extent cx="1057275" cy="373380"/>
            <wp:effectExtent l="0" t="0" r="0" b="7620"/>
            <wp:wrapNone/>
            <wp:docPr id="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ue and white logo&#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7275" cy="373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75640E84" wp14:editId="0340DD00">
            <wp:simplePos x="0" y="0"/>
            <wp:positionH relativeFrom="column">
              <wp:posOffset>2800350</wp:posOffset>
            </wp:positionH>
            <wp:positionV relativeFrom="paragraph">
              <wp:posOffset>11430</wp:posOffset>
            </wp:positionV>
            <wp:extent cx="1126490" cy="278309"/>
            <wp:effectExtent l="0" t="0" r="0" b="7620"/>
            <wp:wrapNone/>
            <wp:docPr id="18741320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3202" name="Picture 1" descr="A blue and black logo&#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6490" cy="27830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4D5D23DB" wp14:editId="260CDBA5">
            <wp:simplePos x="0" y="0"/>
            <wp:positionH relativeFrom="margin">
              <wp:posOffset>1067435</wp:posOffset>
            </wp:positionH>
            <wp:positionV relativeFrom="paragraph">
              <wp:posOffset>19685</wp:posOffset>
            </wp:positionV>
            <wp:extent cx="1581150" cy="260350"/>
            <wp:effectExtent l="0" t="0" r="0" b="6350"/>
            <wp:wrapNone/>
            <wp:docPr id="20" name="Picture 20" descr="calchamber_strapline_R_ForPrint_WORD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chamber_strapline_R_ForPrint_WORDDOC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1150" cy="2603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B8E83D4" w14:textId="386D80CA" w:rsidR="007D4D78" w:rsidRDefault="00FD3F48" w:rsidP="007D4D78">
      <w:pPr>
        <w:pStyle w:val="NormalWeb"/>
      </w:pPr>
      <w:r>
        <w:rPr>
          <w:noProof/>
        </w:rPr>
        <w:drawing>
          <wp:anchor distT="0" distB="0" distL="114300" distR="114300" simplePos="0" relativeHeight="251672576" behindDoc="0" locked="0" layoutInCell="1" allowOverlap="1" wp14:anchorId="25B93823" wp14:editId="4C5EC7B8">
            <wp:simplePos x="0" y="0"/>
            <wp:positionH relativeFrom="margin">
              <wp:posOffset>314325</wp:posOffset>
            </wp:positionH>
            <wp:positionV relativeFrom="paragraph">
              <wp:posOffset>518160</wp:posOffset>
            </wp:positionV>
            <wp:extent cx="1419225" cy="402753"/>
            <wp:effectExtent l="0" t="0" r="0" b="0"/>
            <wp:wrapNone/>
            <wp:docPr id="224229160" name="Picture 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29160" name="Picture 5" descr="A logo for a company&#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9225" cy="40275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icrosoft Sans Serif" w:hAnsi="Microsoft Sans Serif" w:cs="Microsoft Sans Serif"/>
          <w:noProof/>
          <w:sz w:val="22"/>
          <w:szCs w:val="22"/>
        </w:rPr>
        <w:drawing>
          <wp:anchor distT="0" distB="0" distL="114300" distR="114300" simplePos="0" relativeHeight="251680768" behindDoc="0" locked="0" layoutInCell="1" allowOverlap="1" wp14:anchorId="5E0A50FD" wp14:editId="38799C8B">
            <wp:simplePos x="0" y="0"/>
            <wp:positionH relativeFrom="column">
              <wp:posOffset>2047875</wp:posOffset>
            </wp:positionH>
            <wp:positionV relativeFrom="paragraph">
              <wp:posOffset>391795</wp:posOffset>
            </wp:positionV>
            <wp:extent cx="790575" cy="546815"/>
            <wp:effectExtent l="0" t="0" r="0" b="5715"/>
            <wp:wrapNone/>
            <wp:docPr id="471921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07865"/>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790575" cy="546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0" locked="0" layoutInCell="1" allowOverlap="1" wp14:anchorId="5A34B9A9" wp14:editId="608489E4">
            <wp:simplePos x="0" y="0"/>
            <wp:positionH relativeFrom="column">
              <wp:posOffset>3228975</wp:posOffset>
            </wp:positionH>
            <wp:positionV relativeFrom="paragraph">
              <wp:posOffset>326390</wp:posOffset>
            </wp:positionV>
            <wp:extent cx="1181100" cy="590201"/>
            <wp:effectExtent l="0" t="0" r="0" b="635"/>
            <wp:wrapNone/>
            <wp:docPr id="1512706178" name="Picture 1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06178" name="Picture 11" descr="A black and white logo&#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0" cy="59020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4D751C3A" wp14:editId="250E3E86">
            <wp:simplePos x="0" y="0"/>
            <wp:positionH relativeFrom="margin">
              <wp:posOffset>4781550</wp:posOffset>
            </wp:positionH>
            <wp:positionV relativeFrom="paragraph">
              <wp:posOffset>374015</wp:posOffset>
            </wp:positionV>
            <wp:extent cx="1143000" cy="476250"/>
            <wp:effectExtent l="0" t="0" r="0" b="0"/>
            <wp:wrapNone/>
            <wp:docPr id="128323950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39507" name="Picture 1" descr="Logo&#10;&#10;Description automatically generated"/>
                    <pic:cNvPicPr>
                      <a:picLocks noChangeAspect="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BC188" w14:textId="08315213" w:rsidR="00906F41" w:rsidRDefault="00906F41" w:rsidP="008743C0">
      <w:pPr>
        <w:pStyle w:val="NoSpacing"/>
        <w:rPr>
          <w:sz w:val="22"/>
          <w:szCs w:val="22"/>
        </w:rPr>
      </w:pPr>
    </w:p>
    <w:p w14:paraId="512AE49B" w14:textId="36418361" w:rsidR="00405D08" w:rsidRDefault="00405D08" w:rsidP="008743C0">
      <w:pPr>
        <w:pStyle w:val="NoSpacing"/>
        <w:rPr>
          <w:sz w:val="22"/>
          <w:szCs w:val="22"/>
        </w:rPr>
      </w:pPr>
    </w:p>
    <w:p w14:paraId="27E3428C" w14:textId="5E68B75C" w:rsidR="00D523A1" w:rsidRDefault="00D523A1" w:rsidP="008743C0">
      <w:pPr>
        <w:pStyle w:val="NoSpacing"/>
        <w:rPr>
          <w:sz w:val="22"/>
          <w:szCs w:val="22"/>
        </w:rPr>
      </w:pPr>
    </w:p>
    <w:p w14:paraId="239A398B" w14:textId="724F1FAF" w:rsidR="00D523A1" w:rsidRDefault="00C3067C" w:rsidP="008743C0">
      <w:pPr>
        <w:pStyle w:val="NoSpacing"/>
        <w:rPr>
          <w:sz w:val="22"/>
          <w:szCs w:val="22"/>
        </w:rPr>
      </w:pPr>
      <w:r>
        <w:rPr>
          <w:noProof/>
        </w:rPr>
        <w:drawing>
          <wp:anchor distT="0" distB="0" distL="114300" distR="114300" simplePos="0" relativeHeight="251681792" behindDoc="0" locked="0" layoutInCell="1" allowOverlap="1" wp14:anchorId="4E8BE610" wp14:editId="734CE317">
            <wp:simplePos x="0" y="0"/>
            <wp:positionH relativeFrom="column">
              <wp:posOffset>5124450</wp:posOffset>
            </wp:positionH>
            <wp:positionV relativeFrom="paragraph">
              <wp:posOffset>3493</wp:posOffset>
            </wp:positionV>
            <wp:extent cx="900113" cy="298495"/>
            <wp:effectExtent l="0" t="0" r="0" b="6350"/>
            <wp:wrapNone/>
            <wp:docPr id="396111595" name="Picture 2" descr="Western Plastics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stern Plastics Associati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3330" cy="3028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1267D" w14:textId="16BC759E" w:rsidR="00722BFD" w:rsidRDefault="00DA1426" w:rsidP="008743C0">
      <w:pPr>
        <w:pStyle w:val="NoSpacing"/>
        <w:rPr>
          <w:sz w:val="22"/>
          <w:szCs w:val="22"/>
        </w:rPr>
      </w:pPr>
      <w:r>
        <w:rPr>
          <w:sz w:val="22"/>
          <w:szCs w:val="22"/>
        </w:rPr>
        <w:t>June 2</w:t>
      </w:r>
      <w:r w:rsidR="004F6D40">
        <w:rPr>
          <w:sz w:val="22"/>
          <w:szCs w:val="22"/>
        </w:rPr>
        <w:t>5</w:t>
      </w:r>
      <w:r>
        <w:rPr>
          <w:sz w:val="22"/>
          <w:szCs w:val="22"/>
        </w:rPr>
        <w:t>, 2025</w:t>
      </w:r>
      <w:r w:rsidR="008A4FE7">
        <w:rPr>
          <w:sz w:val="22"/>
          <w:szCs w:val="22"/>
        </w:rPr>
        <w:tab/>
      </w:r>
      <w:r w:rsidR="008A4FE7">
        <w:rPr>
          <w:sz w:val="22"/>
          <w:szCs w:val="22"/>
        </w:rPr>
        <w:tab/>
      </w:r>
      <w:r w:rsidR="008A4FE7">
        <w:rPr>
          <w:sz w:val="22"/>
          <w:szCs w:val="22"/>
        </w:rPr>
        <w:tab/>
      </w:r>
      <w:r w:rsidR="008A4FE7">
        <w:rPr>
          <w:sz w:val="22"/>
          <w:szCs w:val="22"/>
        </w:rPr>
        <w:tab/>
      </w:r>
      <w:r w:rsidR="008A4FE7">
        <w:rPr>
          <w:sz w:val="22"/>
          <w:szCs w:val="22"/>
        </w:rPr>
        <w:tab/>
      </w:r>
    </w:p>
    <w:p w14:paraId="44E4DA80" w14:textId="2F77B036" w:rsidR="008743C0" w:rsidRPr="008A4FE7" w:rsidRDefault="008A4FE7" w:rsidP="00C3067C">
      <w:pPr>
        <w:pStyle w:val="NoSpacing"/>
        <w:tabs>
          <w:tab w:val="left" w:pos="720"/>
          <w:tab w:val="left" w:pos="1440"/>
          <w:tab w:val="left" w:pos="5438"/>
        </w:tabs>
        <w:rPr>
          <w:b/>
          <w:bCs/>
          <w:sz w:val="22"/>
          <w:szCs w:val="22"/>
        </w:rPr>
      </w:pPr>
      <w:r>
        <w:rPr>
          <w:sz w:val="22"/>
          <w:szCs w:val="22"/>
        </w:rPr>
        <w:tab/>
      </w:r>
      <w:r>
        <w:rPr>
          <w:sz w:val="22"/>
          <w:szCs w:val="22"/>
        </w:rPr>
        <w:tab/>
      </w:r>
      <w:r w:rsidR="00C3067C">
        <w:rPr>
          <w:sz w:val="22"/>
          <w:szCs w:val="22"/>
        </w:rPr>
        <w:tab/>
      </w:r>
    </w:p>
    <w:p w14:paraId="6A34A5C6" w14:textId="6960FFFC" w:rsidR="008743C0" w:rsidRPr="008743C0" w:rsidRDefault="008743C0" w:rsidP="008743C0">
      <w:pPr>
        <w:pStyle w:val="NoSpacing"/>
        <w:rPr>
          <w:sz w:val="22"/>
          <w:szCs w:val="22"/>
        </w:rPr>
      </w:pPr>
    </w:p>
    <w:p w14:paraId="29DC8310" w14:textId="4F28F943" w:rsidR="008743C0" w:rsidRPr="008743C0" w:rsidRDefault="008743C0" w:rsidP="008743C0">
      <w:pPr>
        <w:pStyle w:val="NoSpacing"/>
        <w:rPr>
          <w:sz w:val="22"/>
          <w:szCs w:val="22"/>
        </w:rPr>
      </w:pPr>
      <w:r w:rsidRPr="008743C0">
        <w:rPr>
          <w:sz w:val="22"/>
          <w:szCs w:val="22"/>
        </w:rPr>
        <w:t xml:space="preserve">The Honorable </w:t>
      </w:r>
      <w:r w:rsidR="00DA1426">
        <w:rPr>
          <w:sz w:val="22"/>
          <w:szCs w:val="22"/>
        </w:rPr>
        <w:t xml:space="preserve">Catherine </w:t>
      </w:r>
      <w:proofErr w:type="spellStart"/>
      <w:r w:rsidR="00DA1426">
        <w:rPr>
          <w:sz w:val="22"/>
          <w:szCs w:val="22"/>
        </w:rPr>
        <w:t>Blakespear</w:t>
      </w:r>
      <w:proofErr w:type="spellEnd"/>
      <w:r w:rsidR="00F374D8">
        <w:rPr>
          <w:sz w:val="22"/>
          <w:szCs w:val="22"/>
        </w:rPr>
        <w:t>, Chair</w:t>
      </w:r>
    </w:p>
    <w:p w14:paraId="6A64ACD0" w14:textId="5F9359E5" w:rsidR="008743C0" w:rsidRPr="008743C0" w:rsidRDefault="00DA1426" w:rsidP="008743C0">
      <w:pPr>
        <w:pStyle w:val="NoSpacing"/>
        <w:rPr>
          <w:sz w:val="22"/>
          <w:szCs w:val="22"/>
        </w:rPr>
      </w:pPr>
      <w:r>
        <w:rPr>
          <w:sz w:val="22"/>
          <w:szCs w:val="22"/>
        </w:rPr>
        <w:t xml:space="preserve">Senate </w:t>
      </w:r>
      <w:r w:rsidR="00562362">
        <w:rPr>
          <w:sz w:val="22"/>
          <w:szCs w:val="22"/>
        </w:rPr>
        <w:t>Environmental Quality Committee</w:t>
      </w:r>
    </w:p>
    <w:p w14:paraId="31ED27D3" w14:textId="3D56A203" w:rsidR="00185E5D" w:rsidRDefault="008743C0" w:rsidP="00185E5D">
      <w:pPr>
        <w:pStyle w:val="NoSpacing"/>
        <w:rPr>
          <w:sz w:val="22"/>
          <w:szCs w:val="22"/>
        </w:rPr>
      </w:pPr>
      <w:r w:rsidRPr="008743C0">
        <w:rPr>
          <w:sz w:val="22"/>
          <w:szCs w:val="22"/>
        </w:rPr>
        <w:t xml:space="preserve">1021 O Street, Suite </w:t>
      </w:r>
      <w:r w:rsidR="00562362">
        <w:rPr>
          <w:sz w:val="22"/>
          <w:szCs w:val="22"/>
        </w:rPr>
        <w:t>3230</w:t>
      </w:r>
    </w:p>
    <w:p w14:paraId="71D48BD7" w14:textId="0338B7BB" w:rsidR="00405D08" w:rsidRDefault="008743C0" w:rsidP="00185E5D">
      <w:pPr>
        <w:pStyle w:val="NoSpacing"/>
      </w:pPr>
      <w:r w:rsidRPr="008743C0">
        <w:rPr>
          <w:sz w:val="22"/>
          <w:szCs w:val="22"/>
        </w:rPr>
        <w:t>Sacramento, CA 95814</w:t>
      </w:r>
    </w:p>
    <w:p w14:paraId="5CA76FF4" w14:textId="020598D1" w:rsidR="008743C0" w:rsidRPr="008743C0" w:rsidRDefault="008743C0" w:rsidP="008743C0">
      <w:pPr>
        <w:pStyle w:val="NoSpacing"/>
        <w:rPr>
          <w:sz w:val="22"/>
          <w:szCs w:val="22"/>
        </w:rPr>
      </w:pPr>
    </w:p>
    <w:p w14:paraId="44F3D3D4" w14:textId="77777777" w:rsidR="008743C0" w:rsidRPr="008743C0" w:rsidRDefault="008743C0" w:rsidP="008743C0">
      <w:pPr>
        <w:pStyle w:val="NoSpacing"/>
        <w:rPr>
          <w:sz w:val="22"/>
          <w:szCs w:val="22"/>
        </w:rPr>
      </w:pPr>
    </w:p>
    <w:p w14:paraId="2CE3962C" w14:textId="7F970DDB" w:rsidR="008743C0" w:rsidRDefault="008743C0" w:rsidP="008743C0">
      <w:pPr>
        <w:pStyle w:val="NoSpacing"/>
        <w:rPr>
          <w:b/>
          <w:bCs/>
          <w:sz w:val="22"/>
          <w:szCs w:val="22"/>
        </w:rPr>
      </w:pPr>
      <w:r w:rsidRPr="008743C0">
        <w:rPr>
          <w:sz w:val="22"/>
          <w:szCs w:val="22"/>
        </w:rPr>
        <w:tab/>
      </w:r>
      <w:r w:rsidRPr="00D16564">
        <w:rPr>
          <w:b/>
          <w:bCs/>
          <w:sz w:val="22"/>
          <w:szCs w:val="22"/>
        </w:rPr>
        <w:t>RE:</w:t>
      </w:r>
      <w:r w:rsidRPr="00D16564">
        <w:rPr>
          <w:b/>
          <w:bCs/>
          <w:sz w:val="22"/>
          <w:szCs w:val="22"/>
        </w:rPr>
        <w:tab/>
        <w:t>AB 1148 (Sharp-Collins)</w:t>
      </w:r>
      <w:r w:rsidR="0054652C" w:rsidRPr="00D16564">
        <w:rPr>
          <w:b/>
          <w:bCs/>
          <w:sz w:val="22"/>
          <w:szCs w:val="22"/>
        </w:rPr>
        <w:t>: Food</w:t>
      </w:r>
      <w:r w:rsidRPr="00D16564">
        <w:rPr>
          <w:b/>
          <w:bCs/>
          <w:sz w:val="22"/>
          <w:szCs w:val="22"/>
        </w:rPr>
        <w:t xml:space="preserve"> packaging; hazardous chemicals</w:t>
      </w:r>
    </w:p>
    <w:p w14:paraId="5873B2F9" w14:textId="1F43B235" w:rsidR="009C369A" w:rsidRDefault="009C369A" w:rsidP="008743C0">
      <w:pPr>
        <w:pStyle w:val="NoSpacing"/>
        <w:rPr>
          <w:b/>
          <w:bCs/>
          <w:sz w:val="22"/>
          <w:szCs w:val="22"/>
        </w:rPr>
      </w:pPr>
      <w:r>
        <w:rPr>
          <w:b/>
          <w:bCs/>
          <w:sz w:val="22"/>
          <w:szCs w:val="22"/>
        </w:rPr>
        <w:tab/>
      </w:r>
      <w:r>
        <w:rPr>
          <w:b/>
          <w:bCs/>
          <w:sz w:val="22"/>
          <w:szCs w:val="22"/>
        </w:rPr>
        <w:tab/>
        <w:t xml:space="preserve">As amended </w:t>
      </w:r>
      <w:r w:rsidR="00F80D79">
        <w:rPr>
          <w:b/>
          <w:bCs/>
          <w:sz w:val="22"/>
          <w:szCs w:val="22"/>
        </w:rPr>
        <w:t xml:space="preserve">June 17, 2025 – OPPOSE UNLESS AMENDED </w:t>
      </w:r>
    </w:p>
    <w:p w14:paraId="0ECC86AA" w14:textId="25AC9309" w:rsidR="009C369A" w:rsidRPr="009C369A" w:rsidRDefault="009C369A" w:rsidP="008743C0">
      <w:pPr>
        <w:pStyle w:val="NoSpacing"/>
        <w:rPr>
          <w:b/>
          <w:bCs/>
          <w:i/>
          <w:iCs/>
          <w:sz w:val="22"/>
          <w:szCs w:val="22"/>
        </w:rPr>
      </w:pPr>
      <w:r>
        <w:rPr>
          <w:b/>
          <w:bCs/>
          <w:sz w:val="22"/>
          <w:szCs w:val="22"/>
        </w:rPr>
        <w:tab/>
      </w:r>
      <w:r>
        <w:rPr>
          <w:b/>
          <w:bCs/>
          <w:sz w:val="22"/>
          <w:szCs w:val="22"/>
        </w:rPr>
        <w:tab/>
      </w:r>
      <w:r>
        <w:rPr>
          <w:b/>
          <w:bCs/>
          <w:i/>
          <w:iCs/>
          <w:sz w:val="22"/>
          <w:szCs w:val="22"/>
        </w:rPr>
        <w:t xml:space="preserve">Set for Hearing, </w:t>
      </w:r>
      <w:r w:rsidR="00F80D79">
        <w:rPr>
          <w:b/>
          <w:bCs/>
          <w:i/>
          <w:iCs/>
          <w:sz w:val="22"/>
          <w:szCs w:val="22"/>
        </w:rPr>
        <w:t>July 2</w:t>
      </w:r>
      <w:r>
        <w:rPr>
          <w:b/>
          <w:bCs/>
          <w:i/>
          <w:iCs/>
          <w:sz w:val="22"/>
          <w:szCs w:val="22"/>
        </w:rPr>
        <w:t>, 2025</w:t>
      </w:r>
    </w:p>
    <w:p w14:paraId="473CBF47" w14:textId="77777777" w:rsidR="008743C0" w:rsidRPr="008743C0" w:rsidRDefault="008743C0" w:rsidP="008743C0">
      <w:pPr>
        <w:pStyle w:val="NoSpacing"/>
        <w:rPr>
          <w:sz w:val="22"/>
          <w:szCs w:val="22"/>
        </w:rPr>
      </w:pPr>
    </w:p>
    <w:p w14:paraId="5700AA0B" w14:textId="74F84694" w:rsidR="008743C0" w:rsidRDefault="008743C0" w:rsidP="008743C0">
      <w:pPr>
        <w:pStyle w:val="NoSpacing"/>
        <w:rPr>
          <w:sz w:val="22"/>
          <w:szCs w:val="22"/>
        </w:rPr>
      </w:pPr>
      <w:r w:rsidRPr="008743C0">
        <w:rPr>
          <w:sz w:val="22"/>
          <w:szCs w:val="22"/>
        </w:rPr>
        <w:t xml:space="preserve">Dear </w:t>
      </w:r>
      <w:r w:rsidR="00F80D79">
        <w:rPr>
          <w:sz w:val="22"/>
          <w:szCs w:val="22"/>
        </w:rPr>
        <w:t xml:space="preserve">Senator </w:t>
      </w:r>
      <w:proofErr w:type="spellStart"/>
      <w:r w:rsidR="00F80D79">
        <w:rPr>
          <w:sz w:val="22"/>
          <w:szCs w:val="22"/>
        </w:rPr>
        <w:t>Blakespear</w:t>
      </w:r>
      <w:proofErr w:type="spellEnd"/>
      <w:r w:rsidR="00F80D79">
        <w:rPr>
          <w:sz w:val="22"/>
          <w:szCs w:val="22"/>
        </w:rPr>
        <w:t>:</w:t>
      </w:r>
    </w:p>
    <w:p w14:paraId="4276B8C5" w14:textId="77777777" w:rsidR="008743C0" w:rsidRDefault="008743C0" w:rsidP="008743C0">
      <w:pPr>
        <w:pStyle w:val="NoSpacing"/>
        <w:rPr>
          <w:sz w:val="22"/>
          <w:szCs w:val="22"/>
        </w:rPr>
      </w:pPr>
    </w:p>
    <w:p w14:paraId="02B5BBCA" w14:textId="77777777" w:rsidR="008F3710" w:rsidRDefault="008743C0" w:rsidP="00E24D1F">
      <w:pPr>
        <w:pStyle w:val="NoSpacing"/>
        <w:rPr>
          <w:sz w:val="22"/>
          <w:szCs w:val="22"/>
        </w:rPr>
      </w:pPr>
      <w:r>
        <w:rPr>
          <w:sz w:val="22"/>
          <w:szCs w:val="22"/>
        </w:rPr>
        <w:t xml:space="preserve">The </w:t>
      </w:r>
      <w:r w:rsidR="00FD7BAB">
        <w:rPr>
          <w:sz w:val="22"/>
          <w:szCs w:val="22"/>
        </w:rPr>
        <w:t>American Chemistry Council (ACC) and the u</w:t>
      </w:r>
      <w:r>
        <w:rPr>
          <w:sz w:val="22"/>
          <w:szCs w:val="22"/>
        </w:rPr>
        <w:t xml:space="preserve">ndersigned organizations </w:t>
      </w:r>
      <w:r w:rsidR="00F80D79">
        <w:rPr>
          <w:sz w:val="22"/>
          <w:szCs w:val="22"/>
        </w:rPr>
        <w:t xml:space="preserve">have taken an </w:t>
      </w:r>
      <w:r w:rsidR="00F80D79" w:rsidRPr="00BD7E4E">
        <w:rPr>
          <w:b/>
          <w:bCs/>
          <w:sz w:val="22"/>
          <w:szCs w:val="22"/>
        </w:rPr>
        <w:t xml:space="preserve">“Oppose Unless Amended” </w:t>
      </w:r>
      <w:r w:rsidR="00F80D79">
        <w:rPr>
          <w:sz w:val="22"/>
          <w:szCs w:val="22"/>
        </w:rPr>
        <w:t xml:space="preserve">position on </w:t>
      </w:r>
      <w:r>
        <w:rPr>
          <w:sz w:val="22"/>
          <w:szCs w:val="22"/>
        </w:rPr>
        <w:t>AB 1148</w:t>
      </w:r>
      <w:r w:rsidR="00FF375E">
        <w:rPr>
          <w:sz w:val="22"/>
          <w:szCs w:val="22"/>
        </w:rPr>
        <w:t xml:space="preserve"> (Sharp-Collins)</w:t>
      </w:r>
      <w:r w:rsidR="00092D79">
        <w:rPr>
          <w:sz w:val="22"/>
          <w:szCs w:val="22"/>
        </w:rPr>
        <w:t xml:space="preserve">, legislation that </w:t>
      </w:r>
      <w:r w:rsidR="00EC2C90">
        <w:rPr>
          <w:sz w:val="22"/>
          <w:szCs w:val="22"/>
        </w:rPr>
        <w:t xml:space="preserve">would ban food packaging that contains any intentionally added bisphenols or phthalates beginning </w:t>
      </w:r>
      <w:r w:rsidR="003E3EFC">
        <w:rPr>
          <w:sz w:val="22"/>
          <w:szCs w:val="22"/>
        </w:rPr>
        <w:t xml:space="preserve">January 1, 2027.  </w:t>
      </w:r>
    </w:p>
    <w:p w14:paraId="2A7E3E6D" w14:textId="77777777" w:rsidR="008F3710" w:rsidRDefault="008F3710" w:rsidP="00E24D1F">
      <w:pPr>
        <w:pStyle w:val="NoSpacing"/>
        <w:rPr>
          <w:sz w:val="22"/>
          <w:szCs w:val="22"/>
        </w:rPr>
      </w:pPr>
    </w:p>
    <w:p w14:paraId="3D7F778A" w14:textId="10F1E22B" w:rsidR="00E24D1F" w:rsidRDefault="00E24D1F" w:rsidP="00E24D1F">
      <w:pPr>
        <w:pStyle w:val="NoSpacing"/>
        <w:rPr>
          <w:sz w:val="22"/>
          <w:szCs w:val="22"/>
        </w:rPr>
      </w:pPr>
      <w:r>
        <w:rPr>
          <w:sz w:val="22"/>
          <w:szCs w:val="22"/>
        </w:rPr>
        <w:t xml:space="preserve">Product and process safety is our top priority, and we support appropriate regulatory oversight of ingredients and materials used in packaging that is grounded in sound science and includes a rigorous discussion among stakeholders of the available scientific information and data.  </w:t>
      </w:r>
    </w:p>
    <w:p w14:paraId="5E19C42B" w14:textId="77777777" w:rsidR="00E24D1F" w:rsidRDefault="00E24D1F" w:rsidP="00E24D1F">
      <w:pPr>
        <w:pStyle w:val="NoSpacing"/>
        <w:rPr>
          <w:sz w:val="22"/>
          <w:szCs w:val="22"/>
        </w:rPr>
      </w:pPr>
    </w:p>
    <w:p w14:paraId="2665B887" w14:textId="11F162A9" w:rsidR="00690E6E" w:rsidRDefault="00767C41" w:rsidP="0084021B">
      <w:pPr>
        <w:pStyle w:val="NoSpacing"/>
        <w:rPr>
          <w:kern w:val="0"/>
          <w:sz w:val="22"/>
          <w:szCs w:val="22"/>
          <w14:ligatures w14:val="none"/>
        </w:rPr>
      </w:pPr>
      <w:r>
        <w:rPr>
          <w:sz w:val="22"/>
          <w:szCs w:val="22"/>
        </w:rPr>
        <w:t xml:space="preserve">The coalition believes </w:t>
      </w:r>
      <w:r w:rsidR="00E24D1F">
        <w:rPr>
          <w:sz w:val="22"/>
          <w:szCs w:val="22"/>
        </w:rPr>
        <w:t xml:space="preserve">the regulatory framework and authority that rests with </w:t>
      </w:r>
      <w:r w:rsidR="0054652C">
        <w:rPr>
          <w:sz w:val="22"/>
          <w:szCs w:val="22"/>
        </w:rPr>
        <w:t>the California Department of Toxic Substances Control (</w:t>
      </w:r>
      <w:r w:rsidR="00E24D1F">
        <w:rPr>
          <w:sz w:val="22"/>
          <w:szCs w:val="22"/>
        </w:rPr>
        <w:t>DTSC</w:t>
      </w:r>
      <w:r w:rsidR="0054652C">
        <w:rPr>
          <w:sz w:val="22"/>
          <w:szCs w:val="22"/>
        </w:rPr>
        <w:t>)</w:t>
      </w:r>
      <w:r w:rsidR="00E24D1F">
        <w:rPr>
          <w:sz w:val="22"/>
          <w:szCs w:val="22"/>
        </w:rPr>
        <w:t xml:space="preserve"> and the United States Food &amp; Drug Administration (FDA) provide the appropriate forum to assess the safety of food packaging materials, establish appropriate threshold levels for intentionally added ingredients, and if necessary, impose any regulatory requirements. </w:t>
      </w:r>
      <w:r w:rsidR="00F46AA0">
        <w:rPr>
          <w:sz w:val="22"/>
          <w:szCs w:val="22"/>
        </w:rPr>
        <w:t xml:space="preserve"> As outlined</w:t>
      </w:r>
      <w:r w:rsidR="00690E6E">
        <w:rPr>
          <w:sz w:val="22"/>
          <w:szCs w:val="22"/>
        </w:rPr>
        <w:t xml:space="preserve"> </w:t>
      </w:r>
      <w:r w:rsidR="00F46AA0">
        <w:rPr>
          <w:sz w:val="22"/>
          <w:szCs w:val="22"/>
        </w:rPr>
        <w:t xml:space="preserve">below DTSC has </w:t>
      </w:r>
      <w:r w:rsidR="004C246A">
        <w:rPr>
          <w:sz w:val="22"/>
          <w:szCs w:val="22"/>
        </w:rPr>
        <w:t>b</w:t>
      </w:r>
      <w:r w:rsidR="00D21922" w:rsidRPr="0084021B">
        <w:rPr>
          <w:kern w:val="0"/>
          <w:sz w:val="22"/>
          <w:szCs w:val="22"/>
          <w14:ligatures w14:val="none"/>
        </w:rPr>
        <w:t>road authority</w:t>
      </w:r>
      <w:r w:rsidR="00F46AA0">
        <w:rPr>
          <w:kern w:val="0"/>
          <w:sz w:val="22"/>
          <w:szCs w:val="22"/>
          <w14:ligatures w14:val="none"/>
        </w:rPr>
        <w:t xml:space="preserve"> under the Safer Consumer Products (SCP) program</w:t>
      </w:r>
      <w:r w:rsidR="00D21922" w:rsidRPr="0084021B">
        <w:rPr>
          <w:kern w:val="0"/>
          <w:sz w:val="22"/>
          <w:szCs w:val="22"/>
          <w14:ligatures w14:val="none"/>
        </w:rPr>
        <w:t xml:space="preserve"> to identify chemical/product combinations and, if warranted, impose use restrictions</w:t>
      </w:r>
      <w:r w:rsidR="000A1431" w:rsidRPr="0084021B">
        <w:rPr>
          <w:kern w:val="0"/>
          <w:sz w:val="22"/>
          <w:szCs w:val="22"/>
          <w14:ligatures w14:val="none"/>
        </w:rPr>
        <w:t>, including “Restrictions on the amount or concentration of the Chemical(s) of Concern or replacement Candidate Chemical(s) permitted in a product.”</w:t>
      </w:r>
      <w:r w:rsidR="000A1431" w:rsidRPr="0084021B">
        <w:rPr>
          <w:rStyle w:val="FootnoteReference"/>
          <w:kern w:val="0"/>
          <w:sz w:val="22"/>
          <w:szCs w:val="22"/>
          <w14:ligatures w14:val="none"/>
        </w:rPr>
        <w:footnoteReference w:id="2"/>
      </w:r>
      <w:r w:rsidR="008817A2">
        <w:rPr>
          <w:kern w:val="0"/>
          <w:sz w:val="22"/>
          <w:szCs w:val="22"/>
          <w14:ligatures w14:val="none"/>
        </w:rPr>
        <w:t xml:space="preserve">  </w:t>
      </w:r>
    </w:p>
    <w:p w14:paraId="614BA089" w14:textId="77777777" w:rsidR="00690E6E" w:rsidRDefault="00690E6E" w:rsidP="0084021B">
      <w:pPr>
        <w:pStyle w:val="NoSpacing"/>
        <w:rPr>
          <w:kern w:val="0"/>
          <w:sz w:val="22"/>
          <w:szCs w:val="22"/>
          <w14:ligatures w14:val="none"/>
        </w:rPr>
      </w:pPr>
    </w:p>
    <w:p w14:paraId="1AABA920" w14:textId="04F81E5A" w:rsidR="00033C1C" w:rsidRDefault="00492A67" w:rsidP="0084021B">
      <w:pPr>
        <w:pStyle w:val="NoSpacing"/>
        <w:rPr>
          <w:kern w:val="0"/>
          <w:sz w:val="22"/>
          <w:szCs w:val="22"/>
          <w14:ligatures w14:val="none"/>
        </w:rPr>
      </w:pPr>
      <w:r>
        <w:rPr>
          <w:kern w:val="0"/>
          <w:sz w:val="22"/>
          <w:szCs w:val="22"/>
          <w14:ligatures w14:val="none"/>
        </w:rPr>
        <w:t xml:space="preserve">Though DTSC has </w:t>
      </w:r>
      <w:r w:rsidR="00690E6E">
        <w:rPr>
          <w:kern w:val="0"/>
          <w:sz w:val="22"/>
          <w:szCs w:val="22"/>
          <w14:ligatures w14:val="none"/>
        </w:rPr>
        <w:t xml:space="preserve">not </w:t>
      </w:r>
      <w:r>
        <w:rPr>
          <w:kern w:val="0"/>
          <w:sz w:val="22"/>
          <w:szCs w:val="22"/>
          <w14:ligatures w14:val="none"/>
        </w:rPr>
        <w:t xml:space="preserve">decided to identify these specific chemistries in food packaging applications as a priority product, </w:t>
      </w:r>
      <w:r w:rsidR="00A9027C">
        <w:rPr>
          <w:kern w:val="0"/>
          <w:sz w:val="22"/>
          <w:szCs w:val="22"/>
          <w14:ligatures w14:val="none"/>
        </w:rPr>
        <w:t>the coalition is</w:t>
      </w:r>
      <w:r w:rsidR="00690E6E">
        <w:rPr>
          <w:kern w:val="0"/>
          <w:sz w:val="22"/>
          <w:szCs w:val="22"/>
          <w14:ligatures w14:val="none"/>
        </w:rPr>
        <w:t xml:space="preserve"> strongly opposed to </w:t>
      </w:r>
      <w:r w:rsidR="005779D4">
        <w:rPr>
          <w:kern w:val="0"/>
          <w:sz w:val="22"/>
          <w:szCs w:val="22"/>
          <w14:ligatures w14:val="none"/>
        </w:rPr>
        <w:t>legislation that would b</w:t>
      </w:r>
      <w:r w:rsidR="00690E6E">
        <w:rPr>
          <w:kern w:val="0"/>
          <w:sz w:val="22"/>
          <w:szCs w:val="22"/>
          <w14:ligatures w14:val="none"/>
        </w:rPr>
        <w:t xml:space="preserve">an specific chemicals in products </w:t>
      </w:r>
      <w:r w:rsidR="005779D4">
        <w:rPr>
          <w:kern w:val="0"/>
          <w:sz w:val="22"/>
          <w:szCs w:val="22"/>
          <w14:ligatures w14:val="none"/>
        </w:rPr>
        <w:t xml:space="preserve">without the benefit of an open, transparent and </w:t>
      </w:r>
      <w:r w:rsidR="000A0A24">
        <w:rPr>
          <w:kern w:val="0"/>
          <w:sz w:val="22"/>
          <w:szCs w:val="22"/>
          <w14:ligatures w14:val="none"/>
        </w:rPr>
        <w:t>science-based</w:t>
      </w:r>
      <w:r w:rsidR="005779D4">
        <w:rPr>
          <w:kern w:val="0"/>
          <w:sz w:val="22"/>
          <w:szCs w:val="22"/>
          <w14:ligatures w14:val="none"/>
        </w:rPr>
        <w:t xml:space="preserve"> process </w:t>
      </w:r>
      <w:r w:rsidR="005779D4">
        <w:rPr>
          <w:kern w:val="0"/>
          <w:sz w:val="22"/>
          <w:szCs w:val="22"/>
          <w14:ligatures w14:val="none"/>
        </w:rPr>
        <w:lastRenderedPageBreak/>
        <w:t xml:space="preserve">under the auspices of the appropriate regulatory agency.  </w:t>
      </w:r>
      <w:r w:rsidR="00BC63AA">
        <w:rPr>
          <w:kern w:val="0"/>
          <w:sz w:val="22"/>
          <w:szCs w:val="22"/>
          <w14:ligatures w14:val="none"/>
        </w:rPr>
        <w:t xml:space="preserve">To that end, the coalition has offered the attached amendments </w:t>
      </w:r>
      <w:r w:rsidR="00033C1C">
        <w:rPr>
          <w:kern w:val="0"/>
          <w:sz w:val="22"/>
          <w:szCs w:val="22"/>
          <w14:ligatures w14:val="none"/>
        </w:rPr>
        <w:t>to ensure such criteria are met.  In summary, the proposed amendments would:</w:t>
      </w:r>
    </w:p>
    <w:p w14:paraId="4CDD70F8" w14:textId="4CC27BDC" w:rsidR="00033C1C" w:rsidRDefault="00033C1C" w:rsidP="0084021B">
      <w:pPr>
        <w:pStyle w:val="NoSpacing"/>
        <w:rPr>
          <w:kern w:val="0"/>
          <w:sz w:val="22"/>
          <w:szCs w:val="22"/>
          <w14:ligatures w14:val="none"/>
        </w:rPr>
      </w:pPr>
    </w:p>
    <w:p w14:paraId="7431AF69" w14:textId="0276FBCF" w:rsidR="00695A01" w:rsidRDefault="009A73B7" w:rsidP="007554FD">
      <w:pPr>
        <w:pStyle w:val="NoSpacing"/>
        <w:numPr>
          <w:ilvl w:val="0"/>
          <w:numId w:val="5"/>
        </w:numPr>
        <w:rPr>
          <w:kern w:val="0"/>
          <w:sz w:val="22"/>
          <w:szCs w:val="22"/>
          <w14:ligatures w14:val="none"/>
        </w:rPr>
      </w:pPr>
      <w:r w:rsidRPr="00695A01">
        <w:rPr>
          <w:kern w:val="0"/>
          <w:sz w:val="22"/>
          <w:szCs w:val="22"/>
          <w14:ligatures w14:val="none"/>
        </w:rPr>
        <w:t>Require DTSC b</w:t>
      </w:r>
      <w:r w:rsidR="00C41830" w:rsidRPr="00695A01">
        <w:rPr>
          <w:kern w:val="0"/>
          <w:sz w:val="22"/>
          <w:szCs w:val="22"/>
          <w14:ligatures w14:val="none"/>
        </w:rPr>
        <w:t>y</w:t>
      </w:r>
      <w:r w:rsidRPr="00695A01">
        <w:rPr>
          <w:kern w:val="0"/>
          <w:sz w:val="22"/>
          <w:szCs w:val="22"/>
          <w14:ligatures w14:val="none"/>
        </w:rPr>
        <w:t xml:space="preserve"> 1/1/30 to evaluate the use of bisphenols and phthalates in food packaging applications</w:t>
      </w:r>
      <w:r w:rsidR="00843E6E" w:rsidRPr="00695A01">
        <w:rPr>
          <w:kern w:val="0"/>
          <w:sz w:val="22"/>
          <w:szCs w:val="22"/>
          <w14:ligatures w14:val="none"/>
        </w:rPr>
        <w:t xml:space="preserve"> to determine whether it is necessary to establish a minimum </w:t>
      </w:r>
      <w:r w:rsidR="001952A2">
        <w:rPr>
          <w:kern w:val="0"/>
          <w:sz w:val="22"/>
          <w:szCs w:val="22"/>
          <w14:ligatures w14:val="none"/>
        </w:rPr>
        <w:t xml:space="preserve">safety </w:t>
      </w:r>
      <w:r w:rsidR="00843E6E" w:rsidRPr="00695A01">
        <w:rPr>
          <w:kern w:val="0"/>
          <w:sz w:val="22"/>
          <w:szCs w:val="22"/>
          <w14:ligatures w14:val="none"/>
        </w:rPr>
        <w:t>threshold leve</w:t>
      </w:r>
      <w:r w:rsidR="00C41830" w:rsidRPr="00695A01">
        <w:rPr>
          <w:kern w:val="0"/>
          <w:sz w:val="22"/>
          <w:szCs w:val="22"/>
          <w14:ligatures w14:val="none"/>
        </w:rPr>
        <w:t>l</w:t>
      </w:r>
      <w:r w:rsidR="001952A2">
        <w:rPr>
          <w:kern w:val="0"/>
          <w:sz w:val="22"/>
          <w:szCs w:val="22"/>
          <w14:ligatures w14:val="none"/>
        </w:rPr>
        <w:t>.</w:t>
      </w:r>
    </w:p>
    <w:p w14:paraId="590AD32E" w14:textId="6F56516D" w:rsidR="00C41830" w:rsidRPr="00695A01" w:rsidRDefault="00C41830" w:rsidP="007554FD">
      <w:pPr>
        <w:pStyle w:val="NoSpacing"/>
        <w:numPr>
          <w:ilvl w:val="0"/>
          <w:numId w:val="5"/>
        </w:numPr>
        <w:rPr>
          <w:kern w:val="0"/>
          <w:sz w:val="22"/>
          <w:szCs w:val="22"/>
          <w14:ligatures w14:val="none"/>
        </w:rPr>
      </w:pPr>
      <w:r w:rsidRPr="00695A01">
        <w:rPr>
          <w:kern w:val="0"/>
          <w:sz w:val="22"/>
          <w:szCs w:val="22"/>
          <w14:ligatures w14:val="none"/>
        </w:rPr>
        <w:t>If DTSC determines a regulation is necessar</w:t>
      </w:r>
      <w:r w:rsidR="00A71789" w:rsidRPr="00695A01">
        <w:rPr>
          <w:kern w:val="0"/>
          <w:sz w:val="22"/>
          <w:szCs w:val="22"/>
          <w14:ligatures w14:val="none"/>
        </w:rPr>
        <w:t xml:space="preserve">y, </w:t>
      </w:r>
      <w:r w:rsidR="00695A01">
        <w:rPr>
          <w:kern w:val="0"/>
          <w:sz w:val="22"/>
          <w:szCs w:val="22"/>
          <w14:ligatures w14:val="none"/>
        </w:rPr>
        <w:t xml:space="preserve">require the department to </w:t>
      </w:r>
      <w:r w:rsidR="00A71789" w:rsidRPr="00695A01">
        <w:rPr>
          <w:kern w:val="0"/>
          <w:sz w:val="22"/>
          <w:szCs w:val="22"/>
          <w14:ligatures w14:val="none"/>
        </w:rPr>
        <w:t>initiate a formal rulemaking process that</w:t>
      </w:r>
      <w:r w:rsidR="0047253C">
        <w:rPr>
          <w:kern w:val="0"/>
          <w:sz w:val="22"/>
          <w:szCs w:val="22"/>
          <w14:ligatures w14:val="none"/>
        </w:rPr>
        <w:t xml:space="preserve"> </w:t>
      </w:r>
      <w:r w:rsidR="00A71789" w:rsidRPr="00695A01">
        <w:rPr>
          <w:kern w:val="0"/>
          <w:sz w:val="22"/>
          <w:szCs w:val="22"/>
          <w14:ligatures w14:val="none"/>
        </w:rPr>
        <w:t>establishes such levels by 1/1/32.</w:t>
      </w:r>
    </w:p>
    <w:p w14:paraId="1956BB66" w14:textId="25D859E5" w:rsidR="00A71789" w:rsidRDefault="00A71789" w:rsidP="00033C1C">
      <w:pPr>
        <w:pStyle w:val="NoSpacing"/>
        <w:numPr>
          <w:ilvl w:val="0"/>
          <w:numId w:val="5"/>
        </w:numPr>
        <w:rPr>
          <w:kern w:val="0"/>
          <w:sz w:val="22"/>
          <w:szCs w:val="22"/>
          <w14:ligatures w14:val="none"/>
        </w:rPr>
      </w:pPr>
      <w:r>
        <w:rPr>
          <w:kern w:val="0"/>
          <w:sz w:val="22"/>
          <w:szCs w:val="22"/>
          <w14:ligatures w14:val="none"/>
        </w:rPr>
        <w:t>Provide manufacturers and retailers with a 24-month “sell thru” period for existing stocks of food packaging.</w:t>
      </w:r>
    </w:p>
    <w:p w14:paraId="748F2AA9" w14:textId="1A5A1D93" w:rsidR="00033C1C" w:rsidRDefault="00127035" w:rsidP="0084021B">
      <w:pPr>
        <w:pStyle w:val="NoSpacing"/>
        <w:numPr>
          <w:ilvl w:val="0"/>
          <w:numId w:val="5"/>
        </w:numPr>
        <w:rPr>
          <w:kern w:val="0"/>
          <w:sz w:val="22"/>
          <w:szCs w:val="22"/>
          <w14:ligatures w14:val="none"/>
        </w:rPr>
      </w:pPr>
      <w:r w:rsidRPr="003D51F8">
        <w:rPr>
          <w:kern w:val="0"/>
          <w:sz w:val="22"/>
          <w:szCs w:val="22"/>
          <w14:ligatures w14:val="none"/>
        </w:rPr>
        <w:t xml:space="preserve">Modifies covered products to exclude reusable containers, those used in commercial or industrial settings, or packaging for dietary supplements. </w:t>
      </w:r>
    </w:p>
    <w:p w14:paraId="7CB6BC32" w14:textId="77777777" w:rsidR="00DF3D35" w:rsidRPr="00DF3D35" w:rsidRDefault="00DF3D35" w:rsidP="00DF3D35">
      <w:pPr>
        <w:pStyle w:val="NoSpacing"/>
        <w:ind w:left="720"/>
        <w:rPr>
          <w:kern w:val="0"/>
          <w:sz w:val="22"/>
          <w:szCs w:val="22"/>
          <w14:ligatures w14:val="none"/>
        </w:rPr>
      </w:pPr>
    </w:p>
    <w:p w14:paraId="43EAF2A6" w14:textId="1A2C1185" w:rsidR="00E7702F" w:rsidRPr="00242E63" w:rsidRDefault="00B232B8" w:rsidP="00D21922">
      <w:pPr>
        <w:spacing w:after="0" w:line="240" w:lineRule="auto"/>
        <w:rPr>
          <w:b/>
          <w:bCs/>
          <w:kern w:val="0"/>
          <w:u w:val="single"/>
          <w14:ligatures w14:val="none"/>
        </w:rPr>
      </w:pPr>
      <w:r>
        <w:rPr>
          <w:b/>
          <w:bCs/>
          <w:kern w:val="0"/>
          <w:u w:val="single"/>
          <w14:ligatures w14:val="none"/>
        </w:rPr>
        <w:t xml:space="preserve">Additional DTSC Authority under the SCP Program </w:t>
      </w:r>
      <w:r w:rsidR="003F4FDF">
        <w:rPr>
          <w:b/>
          <w:bCs/>
          <w:kern w:val="0"/>
          <w:u w:val="single"/>
          <w14:ligatures w14:val="none"/>
        </w:rPr>
        <w:t xml:space="preserve"> </w:t>
      </w:r>
    </w:p>
    <w:p w14:paraId="0903F90B" w14:textId="7C0BFE86" w:rsidR="00D21922" w:rsidRPr="00C61A9C" w:rsidRDefault="00D21922" w:rsidP="00D21922">
      <w:pPr>
        <w:spacing w:after="0" w:line="240" w:lineRule="auto"/>
        <w:rPr>
          <w:kern w:val="0"/>
          <w14:ligatures w14:val="none"/>
        </w:rPr>
      </w:pPr>
      <w:r w:rsidRPr="00C61A9C">
        <w:rPr>
          <w:kern w:val="0"/>
          <w14:ligatures w14:val="none"/>
        </w:rPr>
        <w:t>California Code of Regulations, title 22, section 69501.4(b) authorizes DTSC to request information from product or chemical manufacturers, importers, assemblers, or retailers that it determines necessary to implement the SCP’s framework regulations, via an information call-in.</w:t>
      </w:r>
      <w:r w:rsidR="00E7702F">
        <w:rPr>
          <w:kern w:val="0"/>
          <w14:ligatures w14:val="none"/>
        </w:rPr>
        <w:t xml:space="preserve">  </w:t>
      </w:r>
      <w:r w:rsidRPr="00C61A9C">
        <w:rPr>
          <w:kern w:val="0"/>
          <w14:ligatures w14:val="none"/>
        </w:rPr>
        <w:t>DTSC may use the information obtained through call-ins for several purposes, including identifying product-chemical combinations to evaluate as potential priority products; identifying and analyzing alternatives to eliminate or reduce potential exposures and adverse impacts; and filling data gaps to improve understanding and reduce research time.</w:t>
      </w:r>
    </w:p>
    <w:p w14:paraId="7875D19E" w14:textId="77777777" w:rsidR="00D21922" w:rsidRDefault="00D21922" w:rsidP="00D21922">
      <w:pPr>
        <w:spacing w:after="0" w:line="240" w:lineRule="auto"/>
        <w:rPr>
          <w:kern w:val="0"/>
          <w14:ligatures w14:val="none"/>
        </w:rPr>
      </w:pPr>
    </w:p>
    <w:p w14:paraId="0FF9C9CD" w14:textId="423F8A92" w:rsidR="006D46E6" w:rsidRPr="00000C23" w:rsidRDefault="006D46E6" w:rsidP="006D46E6">
      <w:pPr>
        <w:spacing w:after="0" w:line="240" w:lineRule="auto"/>
        <w:contextualSpacing/>
        <w:rPr>
          <w:kern w:val="0"/>
          <w14:ligatures w14:val="none"/>
        </w:rPr>
      </w:pPr>
      <w:r w:rsidRPr="00000C23">
        <w:rPr>
          <w:kern w:val="0"/>
          <w14:ligatures w14:val="none"/>
        </w:rPr>
        <w:t xml:space="preserve">The 2022/23 budget provided DTSC with additional funding to hire more staff to fully implement the SCP program.  The budget change proposal stated, </w:t>
      </w:r>
      <w:r w:rsidRPr="00000C23">
        <w:rPr>
          <w:rFonts w:cs="Calibri"/>
        </w:rPr>
        <w:t>“</w:t>
      </w:r>
      <w:r>
        <w:rPr>
          <w:rFonts w:cs="Calibri"/>
        </w:rPr>
        <w:t>…</w:t>
      </w:r>
      <w:r w:rsidRPr="00000C23">
        <w:rPr>
          <w:rFonts w:cs="Calibri"/>
        </w:rPr>
        <w:t>the Department of Toxic Substances Control (DTSC) requests 37.0 permanent positions and $7.2 million Toxic Substances Control Account (TSCA) in 2022-23 and ongoing to provide the resources needed to fully implement the Safer Consumer Products (SCP) Program.”</w:t>
      </w:r>
      <w:r>
        <w:rPr>
          <w:rStyle w:val="FootnoteReference"/>
          <w:rFonts w:cs="Calibri"/>
        </w:rPr>
        <w:footnoteReference w:id="3"/>
      </w:r>
      <w:r w:rsidRPr="00000C23">
        <w:rPr>
          <w:rFonts w:cs="Calibri"/>
        </w:rPr>
        <w:t> </w:t>
      </w:r>
    </w:p>
    <w:p w14:paraId="2146D43D" w14:textId="77777777" w:rsidR="006D46E6" w:rsidRPr="00C61A9C" w:rsidRDefault="006D46E6" w:rsidP="00D21922">
      <w:pPr>
        <w:spacing w:after="0" w:line="240" w:lineRule="auto"/>
        <w:rPr>
          <w:kern w:val="0"/>
          <w14:ligatures w14:val="none"/>
        </w:rPr>
      </w:pPr>
    </w:p>
    <w:p w14:paraId="5AF78432" w14:textId="77777777" w:rsidR="00D21922" w:rsidRPr="00C61A9C" w:rsidRDefault="00D21922" w:rsidP="00D21922">
      <w:pPr>
        <w:spacing w:after="0" w:line="240" w:lineRule="auto"/>
        <w:rPr>
          <w:kern w:val="0"/>
          <w14:ligatures w14:val="none"/>
        </w:rPr>
      </w:pPr>
      <w:r w:rsidRPr="00C61A9C">
        <w:rPr>
          <w:kern w:val="0"/>
          <w14:ligatures w14:val="none"/>
        </w:rPr>
        <w:t xml:space="preserve">In 2022, </w:t>
      </w:r>
      <w:r>
        <w:rPr>
          <w:kern w:val="0"/>
          <w14:ligatures w14:val="none"/>
        </w:rPr>
        <w:t xml:space="preserve">the Legislature passed SB 502 (Allen) that </w:t>
      </w:r>
      <w:r w:rsidRPr="00C61A9C">
        <w:rPr>
          <w:kern w:val="0"/>
          <w14:ligatures w14:val="none"/>
        </w:rPr>
        <w:t>expanded DTSC’s authority to require manufacturers to provide specific information including:</w:t>
      </w:r>
    </w:p>
    <w:p w14:paraId="64975E49" w14:textId="77777777" w:rsidR="00D21922" w:rsidRPr="00C61A9C" w:rsidRDefault="00D21922" w:rsidP="00D21922">
      <w:pPr>
        <w:spacing w:after="0" w:line="240" w:lineRule="auto"/>
        <w:rPr>
          <w:kern w:val="0"/>
          <w14:ligatures w14:val="none"/>
        </w:rPr>
      </w:pPr>
    </w:p>
    <w:p w14:paraId="1E08F47B" w14:textId="77777777" w:rsidR="00D21922" w:rsidRPr="00C61A9C" w:rsidRDefault="00D21922" w:rsidP="00D21922">
      <w:pPr>
        <w:numPr>
          <w:ilvl w:val="0"/>
          <w:numId w:val="1"/>
        </w:numPr>
        <w:spacing w:after="0" w:line="240" w:lineRule="auto"/>
        <w:contextualSpacing/>
        <w:rPr>
          <w:b/>
          <w:bCs/>
          <w:kern w:val="0"/>
          <w:u w:val="single"/>
          <w14:ligatures w14:val="none"/>
        </w:rPr>
      </w:pPr>
      <w:r w:rsidRPr="00C61A9C">
        <w:rPr>
          <w:kern w:val="0"/>
          <w14:ligatures w14:val="none"/>
        </w:rPr>
        <w:t xml:space="preserve">information on ingredient chemical identity, concentration, and functional use; </w:t>
      </w:r>
    </w:p>
    <w:p w14:paraId="5897E3FB" w14:textId="77777777" w:rsidR="00D21922" w:rsidRPr="00C61A9C" w:rsidRDefault="00D21922" w:rsidP="00D21922">
      <w:pPr>
        <w:numPr>
          <w:ilvl w:val="0"/>
          <w:numId w:val="1"/>
        </w:numPr>
        <w:spacing w:after="0" w:line="240" w:lineRule="auto"/>
        <w:contextualSpacing/>
        <w:rPr>
          <w:b/>
          <w:bCs/>
          <w:kern w:val="0"/>
          <w:u w:val="single"/>
          <w14:ligatures w14:val="none"/>
        </w:rPr>
      </w:pPr>
      <w:r w:rsidRPr="00C61A9C">
        <w:rPr>
          <w:kern w:val="0"/>
          <w14:ligatures w14:val="none"/>
        </w:rPr>
        <w:t xml:space="preserve">existing information, if any, related to the use of the products by children, pregnant women, or other sensitive populations; and </w:t>
      </w:r>
    </w:p>
    <w:p w14:paraId="5611F118" w14:textId="77777777" w:rsidR="00D21922" w:rsidRDefault="00D21922" w:rsidP="00D21922">
      <w:pPr>
        <w:numPr>
          <w:ilvl w:val="0"/>
          <w:numId w:val="1"/>
        </w:numPr>
        <w:spacing w:after="0" w:line="240" w:lineRule="auto"/>
        <w:contextualSpacing/>
        <w:rPr>
          <w:b/>
          <w:bCs/>
          <w:kern w:val="0"/>
          <w:u w:val="single"/>
          <w14:ligatures w14:val="none"/>
        </w:rPr>
      </w:pPr>
      <w:r w:rsidRPr="00C61A9C">
        <w:rPr>
          <w:kern w:val="0"/>
          <w14:ligatures w14:val="none"/>
        </w:rPr>
        <w:t>data on state product sales, or national product sales in the absence of state product sales data.</w:t>
      </w:r>
    </w:p>
    <w:p w14:paraId="095B088E" w14:textId="77777777" w:rsidR="00D21922" w:rsidRDefault="00D21922" w:rsidP="00D21922">
      <w:pPr>
        <w:spacing w:after="0" w:line="240" w:lineRule="auto"/>
        <w:contextualSpacing/>
        <w:rPr>
          <w:kern w:val="0"/>
          <w14:ligatures w14:val="none"/>
        </w:rPr>
      </w:pPr>
    </w:p>
    <w:p w14:paraId="0463D31B" w14:textId="1B7C6DC4" w:rsidR="00D21922" w:rsidRPr="0080705D" w:rsidRDefault="00D21922" w:rsidP="00D21922">
      <w:pPr>
        <w:spacing w:after="0" w:line="240" w:lineRule="auto"/>
        <w:contextualSpacing/>
        <w:rPr>
          <w:kern w:val="0"/>
          <w14:ligatures w14:val="none"/>
        </w:rPr>
      </w:pPr>
      <w:r>
        <w:rPr>
          <w:kern w:val="0"/>
          <w14:ligatures w14:val="none"/>
        </w:rPr>
        <w:t xml:space="preserve">SB 502 also gave new </w:t>
      </w:r>
      <w:r w:rsidRPr="00263B0B">
        <w:rPr>
          <w:kern w:val="0"/>
          <w14:ligatures w14:val="none"/>
        </w:rPr>
        <w:t xml:space="preserve">authority </w:t>
      </w:r>
      <w:r>
        <w:rPr>
          <w:kern w:val="0"/>
          <w14:ligatures w14:val="none"/>
        </w:rPr>
        <w:t xml:space="preserve">to DTSC </w:t>
      </w:r>
      <w:r w:rsidRPr="00263B0B">
        <w:rPr>
          <w:kern w:val="0"/>
          <w14:ligatures w14:val="none"/>
        </w:rPr>
        <w:t xml:space="preserve">to move directly to </w:t>
      </w:r>
      <w:r>
        <w:rPr>
          <w:kern w:val="0"/>
          <w14:ligatures w14:val="none"/>
        </w:rPr>
        <w:t xml:space="preserve">a </w:t>
      </w:r>
      <w:r w:rsidRPr="00263B0B">
        <w:rPr>
          <w:kern w:val="0"/>
          <w14:ligatures w14:val="none"/>
        </w:rPr>
        <w:t>regulatory response instead of requiring manufacturers to conduct an alternative analysis.</w:t>
      </w:r>
      <w:r>
        <w:rPr>
          <w:kern w:val="0"/>
          <w14:ligatures w14:val="none"/>
        </w:rPr>
        <w:t xml:space="preserve">  The Assembly Environmental Safety and Toxic Materials Committee analysis (June 14, 2022) included a comment from the bill’s author that stated, </w:t>
      </w:r>
      <w:r w:rsidRPr="005078DF">
        <w:rPr>
          <w:i/>
          <w:iCs/>
          <w:kern w:val="0"/>
          <w14:ligatures w14:val="none"/>
        </w:rPr>
        <w:t xml:space="preserve">“the adjustments made by SB 502 will ensure DTSC has the tools they need to </w:t>
      </w:r>
      <w:r w:rsidRPr="005078DF">
        <w:rPr>
          <w:i/>
          <w:iCs/>
          <w:kern w:val="0"/>
          <w14:ligatures w14:val="none"/>
        </w:rPr>
        <w:lastRenderedPageBreak/>
        <w:t>efficiently identify and address unsafe chemical ingredients in everyday products."</w:t>
      </w:r>
      <w:r>
        <w:rPr>
          <w:rStyle w:val="FootnoteReference"/>
          <w:i/>
          <w:iCs/>
          <w:kern w:val="0"/>
          <w14:ligatures w14:val="none"/>
        </w:rPr>
        <w:footnoteReference w:id="4"/>
      </w:r>
      <w:r w:rsidR="0080705D">
        <w:rPr>
          <w:i/>
          <w:iCs/>
          <w:kern w:val="0"/>
          <w14:ligatures w14:val="none"/>
        </w:rPr>
        <w:t xml:space="preserve">  </w:t>
      </w:r>
      <w:r w:rsidR="0080705D">
        <w:rPr>
          <w:kern w:val="0"/>
          <w14:ligatures w14:val="none"/>
        </w:rPr>
        <w:t xml:space="preserve">DTSC </w:t>
      </w:r>
      <w:r w:rsidR="006762DB">
        <w:rPr>
          <w:kern w:val="0"/>
          <w14:ligatures w14:val="none"/>
        </w:rPr>
        <w:t xml:space="preserve">just this month </w:t>
      </w:r>
      <w:r w:rsidR="00BD297D">
        <w:rPr>
          <w:kern w:val="0"/>
          <w14:ligatures w14:val="none"/>
        </w:rPr>
        <w:t xml:space="preserve">initiated </w:t>
      </w:r>
      <w:r w:rsidR="0080705D">
        <w:rPr>
          <w:kern w:val="0"/>
          <w14:ligatures w14:val="none"/>
        </w:rPr>
        <w:t>rulemaking</w:t>
      </w:r>
      <w:r w:rsidR="00BD297D">
        <w:rPr>
          <w:rStyle w:val="FootnoteReference"/>
          <w:kern w:val="0"/>
          <w14:ligatures w14:val="none"/>
        </w:rPr>
        <w:footnoteReference w:id="5"/>
      </w:r>
      <w:r w:rsidR="0080705D">
        <w:rPr>
          <w:kern w:val="0"/>
          <w14:ligatures w14:val="none"/>
        </w:rPr>
        <w:t xml:space="preserve"> to implement the provisions of SB 502.</w:t>
      </w:r>
    </w:p>
    <w:p w14:paraId="04A66A09" w14:textId="77777777" w:rsidR="00D21922" w:rsidRPr="00000C23" w:rsidRDefault="00D21922" w:rsidP="00D21922">
      <w:pPr>
        <w:spacing w:after="0" w:line="240" w:lineRule="auto"/>
        <w:contextualSpacing/>
        <w:rPr>
          <w:kern w:val="0"/>
          <w14:ligatures w14:val="none"/>
        </w:rPr>
      </w:pPr>
    </w:p>
    <w:p w14:paraId="25E237A1" w14:textId="193A55CC" w:rsidR="00EF46FD" w:rsidRPr="006C0BDD" w:rsidRDefault="006C0BDD" w:rsidP="00D21922">
      <w:pPr>
        <w:spacing w:after="0" w:line="240" w:lineRule="auto"/>
        <w:contextualSpacing/>
        <w:rPr>
          <w:b/>
          <w:bCs/>
          <w:kern w:val="0"/>
          <w:u w:val="single"/>
          <w14:ligatures w14:val="none"/>
        </w:rPr>
      </w:pPr>
      <w:r w:rsidRPr="006C0BDD">
        <w:rPr>
          <w:b/>
          <w:bCs/>
          <w:kern w:val="0"/>
          <w:u w:val="single"/>
          <w14:ligatures w14:val="none"/>
        </w:rPr>
        <w:t>DTSC and Food Packaging</w:t>
      </w:r>
    </w:p>
    <w:p w14:paraId="7F3E89B9" w14:textId="6AD50DB0" w:rsidR="00D21922" w:rsidRDefault="00722BFD" w:rsidP="00D21922">
      <w:pPr>
        <w:spacing w:after="0" w:line="240" w:lineRule="auto"/>
        <w:contextualSpacing/>
      </w:pPr>
      <w:r>
        <w:rPr>
          <w:kern w:val="0"/>
          <w14:ligatures w14:val="none"/>
        </w:rPr>
        <w:t xml:space="preserve">DTSC has been active in </w:t>
      </w:r>
      <w:r w:rsidR="00BC34F8">
        <w:rPr>
          <w:kern w:val="0"/>
          <w14:ligatures w14:val="none"/>
        </w:rPr>
        <w:t xml:space="preserve">considering chemistries used in food packaging applications, </w:t>
      </w:r>
      <w:r w:rsidR="00A20D5D">
        <w:rPr>
          <w:kern w:val="0"/>
          <w14:ligatures w14:val="none"/>
        </w:rPr>
        <w:t xml:space="preserve">specifically </w:t>
      </w:r>
      <w:r w:rsidR="00F57ADF">
        <w:rPr>
          <w:kern w:val="0"/>
          <w14:ligatures w14:val="none"/>
        </w:rPr>
        <w:t xml:space="preserve">including </w:t>
      </w:r>
      <w:r w:rsidR="00A20D5D">
        <w:rPr>
          <w:kern w:val="0"/>
          <w14:ligatures w14:val="none"/>
        </w:rPr>
        <w:t>“</w:t>
      </w:r>
      <w:r w:rsidR="00D21922">
        <w:rPr>
          <w:kern w:val="0"/>
          <w14:ligatures w14:val="none"/>
        </w:rPr>
        <w:t>food contact articles” in its most recent SCP three-year workplan.</w:t>
      </w:r>
      <w:r w:rsidR="00D21922">
        <w:rPr>
          <w:rStyle w:val="FootnoteReference"/>
          <w:kern w:val="0"/>
          <w14:ligatures w14:val="none"/>
        </w:rPr>
        <w:footnoteReference w:id="6"/>
      </w:r>
      <w:r w:rsidR="00D21922">
        <w:rPr>
          <w:kern w:val="0"/>
          <w14:ligatures w14:val="none"/>
        </w:rPr>
        <w:t xml:space="preserve">  DTSC notes that as part of its stakeholder engagement process “</w:t>
      </w:r>
      <w:r w:rsidR="00D21922" w:rsidRPr="00104B61">
        <w:rPr>
          <w:i/>
          <w:iCs/>
        </w:rPr>
        <w:t xml:space="preserve">we revised and expanded this category to include all products that are (1) intended to be used with food and (2) come in contact with a food product at any stage of its life cycle, including processing, </w:t>
      </w:r>
      <w:r w:rsidR="00D21922" w:rsidRPr="00DA7E29">
        <w:rPr>
          <w:b/>
          <w:bCs/>
          <w:i/>
          <w:iCs/>
          <w:u w:val="single"/>
        </w:rPr>
        <w:t>packaging</w:t>
      </w:r>
      <w:r w:rsidR="00D21922" w:rsidRPr="00104B61">
        <w:rPr>
          <w:i/>
          <w:iCs/>
        </w:rPr>
        <w:t>, preparation, cooking, serving, and transportation. This definition is more broad than the U.S. Food and Drug Administration’s (FDA’s) definition of food contact substances as it includes products in contact with food at any stage of a food product’s life cycle and applies to the entire product.”</w:t>
      </w:r>
      <w:r w:rsidR="00C82759">
        <w:rPr>
          <w:i/>
          <w:iCs/>
        </w:rPr>
        <w:t xml:space="preserve"> (emphasis added)</w:t>
      </w:r>
    </w:p>
    <w:p w14:paraId="1D366FBA" w14:textId="77777777" w:rsidR="00D21922" w:rsidRDefault="00D21922" w:rsidP="00D21922">
      <w:pPr>
        <w:spacing w:after="0" w:line="240" w:lineRule="auto"/>
        <w:contextualSpacing/>
      </w:pPr>
    </w:p>
    <w:p w14:paraId="77D078F9" w14:textId="1F1D3344" w:rsidR="00127092" w:rsidRDefault="00D21922" w:rsidP="00D21922">
      <w:pPr>
        <w:spacing w:after="0" w:line="240" w:lineRule="auto"/>
        <w:contextualSpacing/>
        <w:rPr>
          <w:i/>
          <w:iCs/>
        </w:rPr>
      </w:pPr>
      <w:r>
        <w:t xml:space="preserve">Finally, the SCP provides a process for anyone to petition DTSC to </w:t>
      </w:r>
      <w:r w:rsidRPr="00FA53C2">
        <w:t>add to or remove from the Priority Products list a product-chemical combination</w:t>
      </w:r>
      <w:r>
        <w:t xml:space="preserve">.  In fact, the SCP regulations require DTSC to </w:t>
      </w:r>
      <w:r w:rsidRPr="007C49C7">
        <w:rPr>
          <w:i/>
          <w:iCs/>
        </w:rPr>
        <w:t xml:space="preserve">“give </w:t>
      </w:r>
      <w:r w:rsidR="00722BFD">
        <w:rPr>
          <w:i/>
          <w:iCs/>
        </w:rPr>
        <w:t>h</w:t>
      </w:r>
      <w:r w:rsidRPr="007C49C7">
        <w:rPr>
          <w:i/>
          <w:iCs/>
        </w:rPr>
        <w:t>igh priority to reviewing petitions by federal and other California State agencies that relate to the petitioning agency's statutory and/or regulatory authorities.”</w:t>
      </w:r>
      <w:r>
        <w:rPr>
          <w:rStyle w:val="FootnoteReference"/>
          <w:i/>
          <w:iCs/>
        </w:rPr>
        <w:footnoteReference w:id="7"/>
      </w:r>
    </w:p>
    <w:p w14:paraId="77EC8934" w14:textId="77777777" w:rsidR="00127092" w:rsidRDefault="00127092" w:rsidP="00D21922">
      <w:pPr>
        <w:spacing w:after="0" w:line="240" w:lineRule="auto"/>
        <w:contextualSpacing/>
        <w:rPr>
          <w:i/>
          <w:iCs/>
        </w:rPr>
      </w:pPr>
    </w:p>
    <w:p w14:paraId="4C68ED3D" w14:textId="1F5C249F" w:rsidR="00D21922" w:rsidRPr="00882B74" w:rsidRDefault="0011548B" w:rsidP="00D21922">
      <w:pPr>
        <w:spacing w:after="0" w:line="240" w:lineRule="auto"/>
        <w:contextualSpacing/>
        <w:rPr>
          <w:i/>
          <w:iCs/>
        </w:rPr>
      </w:pPr>
      <w:r>
        <w:t xml:space="preserve">In 2017, DTSC </w:t>
      </w:r>
      <w:r w:rsidRPr="00A65F5D">
        <w:t>denied</w:t>
      </w:r>
      <w:r w:rsidR="00CA3D08">
        <w:t xml:space="preserve"> </w:t>
      </w:r>
      <w:r>
        <w:t>a public petition that would have designated food cans with BPA resin linings</w:t>
      </w:r>
      <w:r w:rsidR="00C40D3D">
        <w:t xml:space="preserve"> as a priority product. </w:t>
      </w:r>
      <w:r w:rsidR="001D4CAA">
        <w:t xml:space="preserve"> The department dete</w:t>
      </w:r>
      <w:r w:rsidR="00127092">
        <w:t xml:space="preserve">rmined that </w:t>
      </w:r>
      <w:r w:rsidR="00127092" w:rsidRPr="00882B74">
        <w:rPr>
          <w:i/>
          <w:iCs/>
        </w:rPr>
        <w:t xml:space="preserve">“the original petition and the supplemental information submitted on March 14, </w:t>
      </w:r>
      <w:r w:rsidR="006D1775" w:rsidRPr="00882B74">
        <w:rPr>
          <w:i/>
          <w:iCs/>
        </w:rPr>
        <w:t>2017,</w:t>
      </w:r>
      <w:r w:rsidR="00127092" w:rsidRPr="00882B74">
        <w:rPr>
          <w:i/>
          <w:iCs/>
        </w:rPr>
        <w:t xml:space="preserve"> did not provide sufficient detail to enable DTSC to rigorously evaluate BPA in food can linings.”</w:t>
      </w:r>
    </w:p>
    <w:p w14:paraId="66093C8E" w14:textId="77777777" w:rsidR="006D1775" w:rsidRDefault="006D1775" w:rsidP="008743C0">
      <w:pPr>
        <w:pStyle w:val="NoSpacing"/>
        <w:rPr>
          <w:sz w:val="22"/>
          <w:szCs w:val="22"/>
        </w:rPr>
      </w:pPr>
    </w:p>
    <w:p w14:paraId="3B27BDBE" w14:textId="58A89127" w:rsidR="00A605C4" w:rsidRDefault="00F26FCB" w:rsidP="00721691">
      <w:pPr>
        <w:spacing w:after="0" w:line="240" w:lineRule="auto"/>
        <w:contextualSpacing/>
        <w:rPr>
          <w:kern w:val="0"/>
          <w14:ligatures w14:val="none"/>
        </w:rPr>
      </w:pPr>
      <w:r>
        <w:rPr>
          <w:kern w:val="0"/>
          <w14:ligatures w14:val="none"/>
        </w:rPr>
        <w:t xml:space="preserve">Should your committee move AB 1148 forward, we respectfully request your consideration of the proposed amendments put forth by the coalition. </w:t>
      </w:r>
      <w:r w:rsidR="00B458C4">
        <w:rPr>
          <w:kern w:val="0"/>
          <w14:ligatures w14:val="none"/>
        </w:rPr>
        <w:t>Thank you in advance for consideri</w:t>
      </w:r>
      <w:r w:rsidR="00762763">
        <w:rPr>
          <w:kern w:val="0"/>
          <w14:ligatures w14:val="none"/>
        </w:rPr>
        <w:t>ng our comments.</w:t>
      </w:r>
    </w:p>
    <w:p w14:paraId="713A2FBF" w14:textId="77777777" w:rsidR="00762763" w:rsidRDefault="00762763" w:rsidP="00721691">
      <w:pPr>
        <w:spacing w:after="0" w:line="240" w:lineRule="auto"/>
        <w:contextualSpacing/>
        <w:rPr>
          <w:kern w:val="0"/>
          <w14:ligatures w14:val="none"/>
        </w:rPr>
      </w:pPr>
    </w:p>
    <w:p w14:paraId="128BE4A0" w14:textId="6C082B20" w:rsidR="00762763" w:rsidRDefault="00762763" w:rsidP="00721691">
      <w:pPr>
        <w:spacing w:after="0" w:line="240" w:lineRule="auto"/>
        <w:contextualSpacing/>
        <w:rPr>
          <w:kern w:val="0"/>
          <w14:ligatures w14:val="none"/>
        </w:rPr>
      </w:pPr>
      <w:r>
        <w:rPr>
          <w:kern w:val="0"/>
          <w14:ligatures w14:val="none"/>
        </w:rPr>
        <w:t>Sincerely,</w:t>
      </w:r>
    </w:p>
    <w:p w14:paraId="599FFA01" w14:textId="106B4C7C" w:rsidR="00762763" w:rsidRDefault="00E841C8" w:rsidP="00721691">
      <w:pPr>
        <w:spacing w:after="0" w:line="240" w:lineRule="auto"/>
        <w:contextualSpacing/>
        <w:rPr>
          <w:kern w:val="0"/>
          <w14:ligatures w14:val="none"/>
        </w:rPr>
      </w:pPr>
      <w:r w:rsidRPr="00C1179F">
        <w:rPr>
          <w:noProof/>
          <w:color w:val="000000" w:themeColor="text1"/>
        </w:rPr>
        <w:drawing>
          <wp:anchor distT="0" distB="0" distL="114300" distR="114300" simplePos="0" relativeHeight="251666432" behindDoc="0" locked="0" layoutInCell="1" allowOverlap="1" wp14:anchorId="7BA1E772" wp14:editId="1A8FE62A">
            <wp:simplePos x="0" y="0"/>
            <wp:positionH relativeFrom="margin">
              <wp:posOffset>-28575</wp:posOffset>
            </wp:positionH>
            <wp:positionV relativeFrom="paragraph">
              <wp:posOffset>114300</wp:posOffset>
            </wp:positionV>
            <wp:extent cx="1227300" cy="238125"/>
            <wp:effectExtent l="0" t="0" r="0" b="0"/>
            <wp:wrapNone/>
            <wp:docPr id="1612851590" name="Picture 1612851590" descr="C:\DOCUME~1\awalton\LOCALS~1\Temp\auto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1\awalton\LOCALS~1\Temp\auto0.bmp"/>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7300"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38293" w14:textId="77777777" w:rsidR="00E841C8" w:rsidRDefault="00E841C8" w:rsidP="00721691">
      <w:pPr>
        <w:spacing w:after="0" w:line="240" w:lineRule="auto"/>
        <w:contextualSpacing/>
        <w:rPr>
          <w:kern w:val="0"/>
          <w14:ligatures w14:val="none"/>
        </w:rPr>
      </w:pPr>
    </w:p>
    <w:p w14:paraId="60452F0E" w14:textId="77777777" w:rsidR="00762763" w:rsidRDefault="00762763" w:rsidP="00721691">
      <w:pPr>
        <w:spacing w:after="0" w:line="240" w:lineRule="auto"/>
        <w:contextualSpacing/>
        <w:rPr>
          <w:kern w:val="0"/>
          <w14:ligatures w14:val="none"/>
        </w:rPr>
      </w:pPr>
    </w:p>
    <w:p w14:paraId="64CB2D08" w14:textId="05DBFC45" w:rsidR="00762763" w:rsidRDefault="00762763" w:rsidP="00721691">
      <w:pPr>
        <w:spacing w:after="0" w:line="240" w:lineRule="auto"/>
        <w:contextualSpacing/>
        <w:rPr>
          <w:kern w:val="0"/>
          <w14:ligatures w14:val="none"/>
        </w:rPr>
      </w:pPr>
      <w:r>
        <w:rPr>
          <w:kern w:val="0"/>
          <w14:ligatures w14:val="none"/>
        </w:rPr>
        <w:t>Tim Shestek</w:t>
      </w:r>
    </w:p>
    <w:p w14:paraId="40624D82" w14:textId="5F4F550E" w:rsidR="00762763" w:rsidRDefault="00762763" w:rsidP="00721691">
      <w:pPr>
        <w:spacing w:after="0" w:line="240" w:lineRule="auto"/>
        <w:contextualSpacing/>
        <w:rPr>
          <w:kern w:val="0"/>
          <w14:ligatures w14:val="none"/>
        </w:rPr>
      </w:pPr>
      <w:r>
        <w:rPr>
          <w:kern w:val="0"/>
          <w14:ligatures w14:val="none"/>
        </w:rPr>
        <w:t>American Chemistry Council</w:t>
      </w:r>
    </w:p>
    <w:p w14:paraId="7BCE2329" w14:textId="77777777" w:rsidR="00762763" w:rsidRDefault="00762763" w:rsidP="00721691">
      <w:pPr>
        <w:spacing w:after="0" w:line="240" w:lineRule="auto"/>
        <w:contextualSpacing/>
        <w:rPr>
          <w:kern w:val="0"/>
          <w14:ligatures w14:val="none"/>
        </w:rPr>
      </w:pPr>
    </w:p>
    <w:p w14:paraId="48959AFE" w14:textId="4654E25D" w:rsidR="00762763" w:rsidRDefault="00762763" w:rsidP="00721691">
      <w:pPr>
        <w:spacing w:after="0" w:line="240" w:lineRule="auto"/>
        <w:contextualSpacing/>
        <w:rPr>
          <w:i/>
          <w:iCs/>
          <w:kern w:val="0"/>
          <w14:ligatures w14:val="none"/>
        </w:rPr>
      </w:pPr>
      <w:r>
        <w:rPr>
          <w:i/>
          <w:iCs/>
          <w:kern w:val="0"/>
          <w14:ligatures w14:val="none"/>
        </w:rPr>
        <w:t>On behalf of the following organizations:</w:t>
      </w:r>
    </w:p>
    <w:p w14:paraId="6E3E0DEB" w14:textId="77777777" w:rsidR="00762763" w:rsidRDefault="00762763" w:rsidP="00721691">
      <w:pPr>
        <w:spacing w:after="0" w:line="240" w:lineRule="auto"/>
        <w:contextualSpacing/>
        <w:rPr>
          <w:i/>
          <w:iCs/>
          <w:kern w:val="0"/>
          <w14:ligatures w14:val="none"/>
        </w:rPr>
      </w:pPr>
    </w:p>
    <w:p w14:paraId="30AFBC5D" w14:textId="327A0249" w:rsidR="00762763" w:rsidRDefault="00607EE7" w:rsidP="00721691">
      <w:pPr>
        <w:spacing w:after="0" w:line="240" w:lineRule="auto"/>
        <w:contextualSpacing/>
        <w:rPr>
          <w:kern w:val="0"/>
          <w14:ligatures w14:val="none"/>
        </w:rPr>
      </w:pPr>
      <w:r>
        <w:rPr>
          <w:kern w:val="0"/>
          <w14:ligatures w14:val="none"/>
        </w:rPr>
        <w:t>Mike Smaha</w:t>
      </w:r>
      <w:r w:rsidR="00906F41">
        <w:rPr>
          <w:kern w:val="0"/>
          <w14:ligatures w14:val="none"/>
        </w:rPr>
        <w:t>, Can Manufacturers Institute</w:t>
      </w:r>
    </w:p>
    <w:p w14:paraId="209F823A" w14:textId="7835EFCE" w:rsidR="00906F41" w:rsidRDefault="00906F41" w:rsidP="00721691">
      <w:pPr>
        <w:spacing w:after="0" w:line="240" w:lineRule="auto"/>
        <w:contextualSpacing/>
        <w:rPr>
          <w:kern w:val="0"/>
          <w14:ligatures w14:val="none"/>
        </w:rPr>
      </w:pPr>
      <w:r>
        <w:rPr>
          <w:kern w:val="0"/>
          <w14:ligatures w14:val="none"/>
        </w:rPr>
        <w:t xml:space="preserve">James Toner, International Bottled Water </w:t>
      </w:r>
      <w:r w:rsidR="00E841C8">
        <w:rPr>
          <w:kern w:val="0"/>
          <w14:ligatures w14:val="none"/>
        </w:rPr>
        <w:t>Association</w:t>
      </w:r>
    </w:p>
    <w:p w14:paraId="15A88532" w14:textId="77777777" w:rsidR="000D5AAE" w:rsidRDefault="00594368" w:rsidP="00721691">
      <w:pPr>
        <w:spacing w:after="0" w:line="240" w:lineRule="auto"/>
        <w:contextualSpacing/>
        <w:rPr>
          <w:kern w:val="0"/>
          <w14:ligatures w14:val="none"/>
        </w:rPr>
      </w:pPr>
      <w:r>
        <w:rPr>
          <w:kern w:val="0"/>
          <w14:ligatures w14:val="none"/>
        </w:rPr>
        <w:t>Katie Little, California Food Producers</w:t>
      </w:r>
    </w:p>
    <w:p w14:paraId="67C64526" w14:textId="77777777" w:rsidR="00D4649D" w:rsidRDefault="000D5AAE" w:rsidP="00721691">
      <w:pPr>
        <w:spacing w:after="0" w:line="240" w:lineRule="auto"/>
        <w:contextualSpacing/>
        <w:rPr>
          <w:kern w:val="0"/>
          <w14:ligatures w14:val="none"/>
        </w:rPr>
      </w:pPr>
      <w:r>
        <w:rPr>
          <w:kern w:val="0"/>
          <w14:ligatures w14:val="none"/>
        </w:rPr>
        <w:lastRenderedPageBreak/>
        <w:t xml:space="preserve">Carol Patterson, Foodservice Packaging Institute </w:t>
      </w:r>
    </w:p>
    <w:p w14:paraId="60C800E4" w14:textId="77777777" w:rsidR="00405D08" w:rsidRDefault="00D4649D" w:rsidP="00721691">
      <w:pPr>
        <w:spacing w:after="0" w:line="240" w:lineRule="auto"/>
        <w:contextualSpacing/>
        <w:rPr>
          <w:kern w:val="0"/>
          <w14:ligatures w14:val="none"/>
        </w:rPr>
      </w:pPr>
      <w:r>
        <w:rPr>
          <w:kern w:val="0"/>
          <w14:ligatures w14:val="none"/>
        </w:rPr>
        <w:t xml:space="preserve">Meredith Fossett, Vinyl Institute </w:t>
      </w:r>
    </w:p>
    <w:p w14:paraId="2C6B76A0" w14:textId="1E3C7168" w:rsidR="00594368" w:rsidRDefault="00405D08" w:rsidP="00721691">
      <w:pPr>
        <w:spacing w:after="0" w:line="240" w:lineRule="auto"/>
        <w:contextualSpacing/>
        <w:rPr>
          <w:kern w:val="0"/>
          <w14:ligatures w14:val="none"/>
        </w:rPr>
      </w:pPr>
      <w:r>
        <w:rPr>
          <w:kern w:val="0"/>
          <w14:ligatures w14:val="none"/>
        </w:rPr>
        <w:t xml:space="preserve">Elizabeth Esquivel, </w:t>
      </w:r>
      <w:r w:rsidR="00175964">
        <w:rPr>
          <w:kern w:val="0"/>
          <w14:ligatures w14:val="none"/>
        </w:rPr>
        <w:t xml:space="preserve">California Manufacturers &amp; Technology Association </w:t>
      </w:r>
      <w:r w:rsidR="00594368">
        <w:rPr>
          <w:kern w:val="0"/>
          <w14:ligatures w14:val="none"/>
        </w:rPr>
        <w:t xml:space="preserve"> </w:t>
      </w:r>
    </w:p>
    <w:p w14:paraId="708637F0" w14:textId="11D642A0" w:rsidR="008455DE" w:rsidRDefault="008455DE" w:rsidP="008455DE">
      <w:pPr>
        <w:spacing w:after="0" w:line="240" w:lineRule="auto"/>
        <w:contextualSpacing/>
        <w:rPr>
          <w:kern w:val="0"/>
          <w14:ligatures w14:val="none"/>
        </w:rPr>
      </w:pPr>
      <w:r w:rsidRPr="008455DE">
        <w:rPr>
          <w:kern w:val="0"/>
          <w14:ligatures w14:val="none"/>
        </w:rPr>
        <w:t>John J. Richard</w:t>
      </w:r>
      <w:r>
        <w:rPr>
          <w:kern w:val="0"/>
          <w14:ligatures w14:val="none"/>
        </w:rPr>
        <w:t xml:space="preserve">, Flexible Packaging Association </w:t>
      </w:r>
    </w:p>
    <w:p w14:paraId="56DC3355" w14:textId="6ED29028" w:rsidR="008455DE" w:rsidRDefault="008455DE" w:rsidP="008455DE">
      <w:pPr>
        <w:spacing w:after="0" w:line="240" w:lineRule="auto"/>
        <w:contextualSpacing/>
        <w:rPr>
          <w:kern w:val="0"/>
          <w14:ligatures w14:val="none"/>
        </w:rPr>
      </w:pPr>
      <w:r>
        <w:rPr>
          <w:kern w:val="0"/>
          <w14:ligatures w14:val="none"/>
        </w:rPr>
        <w:t xml:space="preserve">Edwin Borbon, American </w:t>
      </w:r>
      <w:r w:rsidR="00745A3E">
        <w:rPr>
          <w:kern w:val="0"/>
          <w14:ligatures w14:val="none"/>
        </w:rPr>
        <w:t>Institute for Packaging and the Environment (AMERIPEN)</w:t>
      </w:r>
    </w:p>
    <w:p w14:paraId="70848EB5" w14:textId="77777777" w:rsidR="009A4B45" w:rsidRDefault="00572B2C" w:rsidP="008455DE">
      <w:pPr>
        <w:spacing w:after="0" w:line="240" w:lineRule="auto"/>
        <w:contextualSpacing/>
        <w:rPr>
          <w:kern w:val="0"/>
          <w14:ligatures w14:val="none"/>
        </w:rPr>
      </w:pPr>
      <w:r>
        <w:rPr>
          <w:kern w:val="0"/>
          <w14:ligatures w14:val="none"/>
        </w:rPr>
        <w:t>Adam Regele, California Chamber of Commerce</w:t>
      </w:r>
    </w:p>
    <w:p w14:paraId="2ED761A1" w14:textId="77777777" w:rsidR="00FE4953" w:rsidRDefault="009A4B45" w:rsidP="008455DE">
      <w:pPr>
        <w:spacing w:after="0" w:line="240" w:lineRule="auto"/>
        <w:contextualSpacing/>
        <w:rPr>
          <w:kern w:val="0"/>
          <w14:ligatures w14:val="none"/>
        </w:rPr>
      </w:pPr>
      <w:r>
        <w:rPr>
          <w:kern w:val="0"/>
          <w14:ligatures w14:val="none"/>
        </w:rPr>
        <w:t xml:space="preserve">Lisa Johnson, Chemical Industry Council of California </w:t>
      </w:r>
    </w:p>
    <w:p w14:paraId="29AA72C7" w14:textId="121129D5" w:rsidR="00572B2C" w:rsidRDefault="00FE4953" w:rsidP="008455DE">
      <w:pPr>
        <w:spacing w:after="0" w:line="240" w:lineRule="auto"/>
        <w:contextualSpacing/>
        <w:rPr>
          <w:kern w:val="0"/>
          <w14:ligatures w14:val="none"/>
        </w:rPr>
      </w:pPr>
      <w:r>
        <w:rPr>
          <w:kern w:val="0"/>
          <w14:ligatures w14:val="none"/>
        </w:rPr>
        <w:t xml:space="preserve">Erin Raden, Consumer Brands Association </w:t>
      </w:r>
      <w:r w:rsidR="00572B2C">
        <w:rPr>
          <w:kern w:val="0"/>
          <w14:ligatures w14:val="none"/>
        </w:rPr>
        <w:t xml:space="preserve"> </w:t>
      </w:r>
    </w:p>
    <w:p w14:paraId="51B086BF" w14:textId="5839F8AC" w:rsidR="00D657EC" w:rsidRDefault="00D657EC" w:rsidP="008455DE">
      <w:pPr>
        <w:spacing w:after="0" w:line="240" w:lineRule="auto"/>
        <w:contextualSpacing/>
        <w:rPr>
          <w:kern w:val="0"/>
          <w14:ligatures w14:val="none"/>
        </w:rPr>
      </w:pPr>
      <w:r>
        <w:rPr>
          <w:kern w:val="0"/>
          <w14:ligatures w14:val="none"/>
        </w:rPr>
        <w:t xml:space="preserve">Gary Jones, Printing United Alliance </w:t>
      </w:r>
    </w:p>
    <w:p w14:paraId="51CA81DB" w14:textId="7C2E41F3" w:rsidR="00E84ACD" w:rsidRPr="008455DE" w:rsidRDefault="00C51617" w:rsidP="008455DE">
      <w:pPr>
        <w:spacing w:after="0" w:line="240" w:lineRule="auto"/>
        <w:contextualSpacing/>
        <w:rPr>
          <w:kern w:val="0"/>
          <w14:ligatures w14:val="none"/>
        </w:rPr>
      </w:pPr>
      <w:r w:rsidRPr="00C51617">
        <w:rPr>
          <w:kern w:val="0"/>
          <w14:ligatures w14:val="none"/>
        </w:rPr>
        <w:t>George R. Fuchs</w:t>
      </w:r>
      <w:r>
        <w:rPr>
          <w:kern w:val="0"/>
          <w14:ligatures w14:val="none"/>
        </w:rPr>
        <w:t xml:space="preserve">, </w:t>
      </w:r>
      <w:r w:rsidR="00E84ACD" w:rsidRPr="00E84ACD">
        <w:rPr>
          <w:kern w:val="0"/>
          <w14:ligatures w14:val="none"/>
        </w:rPr>
        <w:t>National Association of Printing Ink Manufacturers</w:t>
      </w:r>
    </w:p>
    <w:p w14:paraId="71E5D1AF" w14:textId="77777777" w:rsidR="00185E5D" w:rsidRDefault="00185E5D" w:rsidP="00721691">
      <w:pPr>
        <w:spacing w:after="0" w:line="240" w:lineRule="auto"/>
        <w:contextualSpacing/>
        <w:rPr>
          <w:kern w:val="0"/>
          <w14:ligatures w14:val="none"/>
        </w:rPr>
      </w:pPr>
    </w:p>
    <w:p w14:paraId="66393D8F" w14:textId="77777777" w:rsidR="009C57E8" w:rsidRDefault="009C57E8" w:rsidP="00721691">
      <w:pPr>
        <w:spacing w:after="0" w:line="240" w:lineRule="auto"/>
        <w:contextualSpacing/>
        <w:rPr>
          <w:kern w:val="0"/>
          <w14:ligatures w14:val="none"/>
        </w:rPr>
      </w:pPr>
    </w:p>
    <w:p w14:paraId="158D2246" w14:textId="77777777" w:rsidR="009C57E8" w:rsidRDefault="009C57E8" w:rsidP="00721691">
      <w:pPr>
        <w:spacing w:after="0" w:line="240" w:lineRule="auto"/>
        <w:contextualSpacing/>
        <w:rPr>
          <w:kern w:val="0"/>
          <w14:ligatures w14:val="none"/>
        </w:rPr>
      </w:pPr>
    </w:p>
    <w:p w14:paraId="0B10B98C" w14:textId="77777777" w:rsidR="009613B1" w:rsidRPr="00664C92" w:rsidRDefault="009613B1" w:rsidP="009613B1">
      <w:pPr>
        <w:spacing w:after="0" w:line="240" w:lineRule="auto"/>
        <w:contextualSpacing/>
        <w:rPr>
          <w:kern w:val="0"/>
          <w14:ligatures w14:val="none"/>
        </w:rPr>
      </w:pPr>
      <w:r>
        <w:rPr>
          <w:kern w:val="0"/>
          <w14:ligatures w14:val="none"/>
        </w:rPr>
        <w:t>ATTACHMENT – Coalition amendment mock-up (6/22/25)</w:t>
      </w:r>
    </w:p>
    <w:p w14:paraId="0AA5A201" w14:textId="77777777" w:rsidR="009C57E8" w:rsidRDefault="009C57E8" w:rsidP="00721691">
      <w:pPr>
        <w:spacing w:after="0" w:line="240" w:lineRule="auto"/>
        <w:contextualSpacing/>
        <w:rPr>
          <w:kern w:val="0"/>
          <w14:ligatures w14:val="none"/>
        </w:rPr>
      </w:pPr>
    </w:p>
    <w:p w14:paraId="5C1B351A" w14:textId="3F1345A1" w:rsidR="009C57E8" w:rsidRDefault="00416D78" w:rsidP="00721691">
      <w:pPr>
        <w:spacing w:after="0" w:line="240" w:lineRule="auto"/>
        <w:contextualSpacing/>
        <w:rPr>
          <w:kern w:val="0"/>
          <w14:ligatures w14:val="none"/>
        </w:rPr>
      </w:pPr>
      <w:r>
        <w:rPr>
          <w:kern w:val="0"/>
          <w14:ligatures w14:val="none"/>
        </w:rPr>
        <w:t>c</w:t>
      </w:r>
      <w:r w:rsidR="009C57E8">
        <w:rPr>
          <w:kern w:val="0"/>
          <w14:ligatures w14:val="none"/>
        </w:rPr>
        <w:t>c:</w:t>
      </w:r>
      <w:r w:rsidR="009C57E8">
        <w:rPr>
          <w:kern w:val="0"/>
          <w14:ligatures w14:val="none"/>
        </w:rPr>
        <w:tab/>
        <w:t>Members, Senate Environmental Quality Committee</w:t>
      </w:r>
    </w:p>
    <w:p w14:paraId="7B94681A" w14:textId="08D09027" w:rsidR="009C57E8" w:rsidRDefault="009C57E8" w:rsidP="00721691">
      <w:pPr>
        <w:spacing w:after="0" w:line="240" w:lineRule="auto"/>
        <w:contextualSpacing/>
        <w:rPr>
          <w:kern w:val="0"/>
          <w14:ligatures w14:val="none"/>
        </w:rPr>
      </w:pPr>
      <w:r>
        <w:rPr>
          <w:kern w:val="0"/>
          <w14:ligatures w14:val="none"/>
        </w:rPr>
        <w:tab/>
        <w:t xml:space="preserve">The Honorable </w:t>
      </w:r>
      <w:r w:rsidR="003013AF">
        <w:rPr>
          <w:kern w:val="0"/>
          <w14:ligatures w14:val="none"/>
        </w:rPr>
        <w:t xml:space="preserve">Dr. </w:t>
      </w:r>
      <w:proofErr w:type="spellStart"/>
      <w:r w:rsidR="003013AF">
        <w:rPr>
          <w:kern w:val="0"/>
          <w14:ligatures w14:val="none"/>
        </w:rPr>
        <w:t>LaShae</w:t>
      </w:r>
      <w:proofErr w:type="spellEnd"/>
      <w:r w:rsidR="00416D78">
        <w:rPr>
          <w:kern w:val="0"/>
          <w14:ligatures w14:val="none"/>
        </w:rPr>
        <w:t xml:space="preserve"> Sharp-Collings, Member of the Assembly </w:t>
      </w:r>
    </w:p>
    <w:p w14:paraId="09416759" w14:textId="7E2850F4" w:rsidR="00416D78" w:rsidRDefault="00416D78" w:rsidP="00721691">
      <w:pPr>
        <w:spacing w:after="0" w:line="240" w:lineRule="auto"/>
        <w:contextualSpacing/>
        <w:rPr>
          <w:kern w:val="0"/>
          <w14:ligatures w14:val="none"/>
        </w:rPr>
      </w:pPr>
      <w:r>
        <w:rPr>
          <w:kern w:val="0"/>
          <w14:ligatures w14:val="none"/>
        </w:rPr>
        <w:tab/>
        <w:t>Mr. Michael Lucien, Chief of Staff, Office of Assembly Member Sharp-Collins</w:t>
      </w:r>
    </w:p>
    <w:p w14:paraId="54D897BC" w14:textId="77777777" w:rsidR="00416D78" w:rsidRDefault="00416D78" w:rsidP="00721691">
      <w:pPr>
        <w:spacing w:after="0" w:line="240" w:lineRule="auto"/>
        <w:contextualSpacing/>
        <w:rPr>
          <w:kern w:val="0"/>
          <w14:ligatures w14:val="none"/>
        </w:rPr>
      </w:pPr>
    </w:p>
    <w:p w14:paraId="17C608F9" w14:textId="77777777" w:rsidR="00F4612F" w:rsidRDefault="00F4612F" w:rsidP="00721691">
      <w:pPr>
        <w:spacing w:after="0" w:line="240" w:lineRule="auto"/>
        <w:contextualSpacing/>
        <w:rPr>
          <w:kern w:val="0"/>
          <w14:ligatures w14:val="none"/>
        </w:rPr>
      </w:pPr>
    </w:p>
    <w:sectPr w:rsidR="00F461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97A3" w14:textId="77777777" w:rsidR="0035111E" w:rsidRDefault="0035111E" w:rsidP="00BD336A">
      <w:pPr>
        <w:spacing w:after="0" w:line="240" w:lineRule="auto"/>
      </w:pPr>
      <w:r>
        <w:separator/>
      </w:r>
    </w:p>
  </w:endnote>
  <w:endnote w:type="continuationSeparator" w:id="0">
    <w:p w14:paraId="7591A948" w14:textId="77777777" w:rsidR="0035111E" w:rsidRDefault="0035111E" w:rsidP="00BD336A">
      <w:pPr>
        <w:spacing w:after="0" w:line="240" w:lineRule="auto"/>
      </w:pPr>
      <w:r>
        <w:continuationSeparator/>
      </w:r>
    </w:p>
  </w:endnote>
  <w:endnote w:type="continuationNotice" w:id="1">
    <w:p w14:paraId="696ADEED" w14:textId="77777777" w:rsidR="0035111E" w:rsidRDefault="003511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28E5E" w14:textId="77777777" w:rsidR="0035111E" w:rsidRDefault="0035111E" w:rsidP="00BD336A">
      <w:pPr>
        <w:spacing w:after="0" w:line="240" w:lineRule="auto"/>
      </w:pPr>
      <w:r>
        <w:separator/>
      </w:r>
    </w:p>
  </w:footnote>
  <w:footnote w:type="continuationSeparator" w:id="0">
    <w:p w14:paraId="1F44BDD7" w14:textId="77777777" w:rsidR="0035111E" w:rsidRDefault="0035111E" w:rsidP="00BD336A">
      <w:pPr>
        <w:spacing w:after="0" w:line="240" w:lineRule="auto"/>
      </w:pPr>
      <w:r>
        <w:continuationSeparator/>
      </w:r>
    </w:p>
  </w:footnote>
  <w:footnote w:type="continuationNotice" w:id="1">
    <w:p w14:paraId="791C38A7" w14:textId="77777777" w:rsidR="0035111E" w:rsidRDefault="0035111E">
      <w:pPr>
        <w:spacing w:after="0" w:line="240" w:lineRule="auto"/>
      </w:pPr>
    </w:p>
  </w:footnote>
  <w:footnote w:id="2">
    <w:p w14:paraId="18D9D88F" w14:textId="778AA24A" w:rsidR="000A1431" w:rsidRDefault="000A1431">
      <w:pPr>
        <w:pStyle w:val="FootnoteText"/>
      </w:pPr>
      <w:r>
        <w:rPr>
          <w:rStyle w:val="FootnoteReference"/>
        </w:rPr>
        <w:footnoteRef/>
      </w:r>
      <w:r>
        <w:t xml:space="preserve"> </w:t>
      </w:r>
      <w:hyperlink r:id="rId1" w:history="1">
        <w:r w:rsidR="00D220CF">
          <w:rPr>
            <w:rStyle w:val="Hyperlink"/>
          </w:rPr>
          <w:t>§ 69506.4. Use Restrictions on Chemicals and Consumer Products.</w:t>
        </w:r>
      </w:hyperlink>
    </w:p>
    <w:p w14:paraId="44700654" w14:textId="77777777" w:rsidR="00D220CF" w:rsidRDefault="00D220CF">
      <w:pPr>
        <w:pStyle w:val="FootnoteText"/>
      </w:pPr>
    </w:p>
  </w:footnote>
  <w:footnote w:id="3">
    <w:p w14:paraId="7CBF89AC" w14:textId="77777777" w:rsidR="006D46E6" w:rsidRDefault="006D46E6" w:rsidP="006D46E6">
      <w:pPr>
        <w:pStyle w:val="FootnoteText"/>
      </w:pPr>
      <w:r>
        <w:rPr>
          <w:rStyle w:val="FootnoteReference"/>
        </w:rPr>
        <w:footnoteRef/>
      </w:r>
      <w:r>
        <w:t xml:space="preserve"> </w:t>
      </w:r>
      <w:hyperlink r:id="rId2" w:history="1">
        <w:r w:rsidRPr="0052690E">
          <w:rPr>
            <w:rStyle w:val="Hyperlink"/>
          </w:rPr>
          <w:t>https://bcp.dof.ca.gov/2223/FY2223_ORG3960_BCP5200.pdf</w:t>
        </w:r>
      </w:hyperlink>
    </w:p>
    <w:p w14:paraId="5B118145" w14:textId="77777777" w:rsidR="006D46E6" w:rsidRDefault="006D46E6" w:rsidP="006D46E6">
      <w:pPr>
        <w:pStyle w:val="FootnoteText"/>
      </w:pPr>
    </w:p>
  </w:footnote>
  <w:footnote w:id="4">
    <w:p w14:paraId="7F63BDCC" w14:textId="77777777" w:rsidR="00D21922" w:rsidRDefault="00D21922" w:rsidP="00D21922">
      <w:pPr>
        <w:pStyle w:val="FootnoteText"/>
      </w:pPr>
      <w:r>
        <w:rPr>
          <w:rStyle w:val="FootnoteReference"/>
        </w:rPr>
        <w:footnoteRef/>
      </w:r>
      <w:r>
        <w:t xml:space="preserve"> </w:t>
      </w:r>
      <w:hyperlink r:id="rId3" w:history="1">
        <w:r w:rsidRPr="00F522FC">
          <w:rPr>
            <w:rStyle w:val="Hyperlink"/>
          </w:rPr>
          <w:t>https://leginfo.legislature.ca.gov/faces/billAnalysisClient.xhtml?bill_id=202120220SB502#</w:t>
        </w:r>
      </w:hyperlink>
    </w:p>
    <w:p w14:paraId="30752D60" w14:textId="77777777" w:rsidR="00D21922" w:rsidRDefault="00D21922" w:rsidP="00D21922">
      <w:pPr>
        <w:pStyle w:val="FootnoteText"/>
      </w:pPr>
    </w:p>
  </w:footnote>
  <w:footnote w:id="5">
    <w:p w14:paraId="680EE2CC" w14:textId="50BBF55A" w:rsidR="00BD297D" w:rsidRDefault="00BD297D">
      <w:pPr>
        <w:pStyle w:val="FootnoteText"/>
      </w:pPr>
      <w:r>
        <w:rPr>
          <w:rStyle w:val="FootnoteReference"/>
        </w:rPr>
        <w:footnoteRef/>
      </w:r>
      <w:r>
        <w:t xml:space="preserve"> </w:t>
      </w:r>
      <w:hyperlink r:id="rId4" w:history="1">
        <w:r w:rsidRPr="0073359B">
          <w:rPr>
            <w:rStyle w:val="Hyperlink"/>
          </w:rPr>
          <w:t>https://calsafer.dtsc.ca.gov/cms/commentpackage/?rid=12784</w:t>
        </w:r>
      </w:hyperlink>
    </w:p>
    <w:p w14:paraId="682012E2" w14:textId="77777777" w:rsidR="00BD297D" w:rsidRDefault="00BD297D">
      <w:pPr>
        <w:pStyle w:val="FootnoteText"/>
      </w:pPr>
    </w:p>
  </w:footnote>
  <w:footnote w:id="6">
    <w:p w14:paraId="1A5A95DE" w14:textId="77777777" w:rsidR="00D21922" w:rsidRDefault="00D21922" w:rsidP="00D21922">
      <w:pPr>
        <w:pStyle w:val="FootnoteText"/>
      </w:pPr>
      <w:r>
        <w:rPr>
          <w:rStyle w:val="FootnoteReference"/>
        </w:rPr>
        <w:footnoteRef/>
      </w:r>
      <w:r>
        <w:t xml:space="preserve"> </w:t>
      </w:r>
      <w:hyperlink r:id="rId5" w:history="1">
        <w:r w:rsidRPr="00DA3131">
          <w:rPr>
            <w:rStyle w:val="Hyperlink"/>
          </w:rPr>
          <w:t>https://dtsc.ca.gov/wp-content/uploads/sites/31/2024/10/2024-2026-Priority-Product-Work-Plan.pdf</w:t>
        </w:r>
      </w:hyperlink>
    </w:p>
    <w:p w14:paraId="20341EE5" w14:textId="77777777" w:rsidR="00D21922" w:rsidRDefault="00D21922" w:rsidP="00D21922">
      <w:pPr>
        <w:pStyle w:val="FootnoteText"/>
      </w:pPr>
    </w:p>
  </w:footnote>
  <w:footnote w:id="7">
    <w:p w14:paraId="0A920858" w14:textId="15E18252" w:rsidR="00D21922" w:rsidRDefault="00D21922" w:rsidP="00D21922">
      <w:pPr>
        <w:pStyle w:val="FootnoteText"/>
      </w:pPr>
      <w:r>
        <w:rPr>
          <w:rStyle w:val="FootnoteReference"/>
        </w:rPr>
        <w:footnoteRef/>
      </w:r>
      <w:r>
        <w:t xml:space="preserve"> </w:t>
      </w:r>
      <w:hyperlink r:id="rId6" w:history="1">
        <w:r w:rsidR="00590DB6">
          <w:rPr>
            <w:rStyle w:val="Hyperlink"/>
          </w:rPr>
          <w:t>§ 69504.1. Merits Review of Petitions</w:t>
        </w:r>
      </w:hyperlink>
    </w:p>
    <w:p w14:paraId="1F56C095" w14:textId="77777777" w:rsidR="00D21922" w:rsidRDefault="00D21922" w:rsidP="00D2192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A1C85"/>
    <w:multiLevelType w:val="hybridMultilevel"/>
    <w:tmpl w:val="95765B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582B2E18"/>
    <w:multiLevelType w:val="hybridMultilevel"/>
    <w:tmpl w:val="744263B8"/>
    <w:lvl w:ilvl="0" w:tplc="FDFA1D46">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9F3F7E"/>
    <w:multiLevelType w:val="hybridMultilevel"/>
    <w:tmpl w:val="196C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DC7479"/>
    <w:multiLevelType w:val="hybridMultilevel"/>
    <w:tmpl w:val="44F61CC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16cid:durableId="1293945457">
    <w:abstractNumId w:val="3"/>
  </w:num>
  <w:num w:numId="2" w16cid:durableId="488862520">
    <w:abstractNumId w:val="1"/>
  </w:num>
  <w:num w:numId="3" w16cid:durableId="1354651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110629">
    <w:abstractNumId w:val="0"/>
  </w:num>
  <w:num w:numId="5" w16cid:durableId="52810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C0"/>
    <w:rsid w:val="00000C23"/>
    <w:rsid w:val="00032B89"/>
    <w:rsid w:val="00033C1C"/>
    <w:rsid w:val="00054476"/>
    <w:rsid w:val="0005498B"/>
    <w:rsid w:val="00063D44"/>
    <w:rsid w:val="00074A9E"/>
    <w:rsid w:val="00092D79"/>
    <w:rsid w:val="00094B18"/>
    <w:rsid w:val="000961D6"/>
    <w:rsid w:val="00096222"/>
    <w:rsid w:val="000A0A24"/>
    <w:rsid w:val="000A1431"/>
    <w:rsid w:val="000A5F45"/>
    <w:rsid w:val="000A68E2"/>
    <w:rsid w:val="000B02B8"/>
    <w:rsid w:val="000B3001"/>
    <w:rsid w:val="000B7FC9"/>
    <w:rsid w:val="000D14F3"/>
    <w:rsid w:val="000D2CB8"/>
    <w:rsid w:val="000D5AAE"/>
    <w:rsid w:val="00104B61"/>
    <w:rsid w:val="0010642C"/>
    <w:rsid w:val="0011548B"/>
    <w:rsid w:val="00127035"/>
    <w:rsid w:val="00127092"/>
    <w:rsid w:val="00137C8C"/>
    <w:rsid w:val="0014044C"/>
    <w:rsid w:val="00152B94"/>
    <w:rsid w:val="00153431"/>
    <w:rsid w:val="00156F56"/>
    <w:rsid w:val="0017128C"/>
    <w:rsid w:val="00175569"/>
    <w:rsid w:val="00175964"/>
    <w:rsid w:val="0018442B"/>
    <w:rsid w:val="00185E5D"/>
    <w:rsid w:val="00186BA8"/>
    <w:rsid w:val="001952A2"/>
    <w:rsid w:val="001A7633"/>
    <w:rsid w:val="001B188B"/>
    <w:rsid w:val="001D1422"/>
    <w:rsid w:val="001D3B81"/>
    <w:rsid w:val="001D4CAA"/>
    <w:rsid w:val="001E0BDC"/>
    <w:rsid w:val="001F766D"/>
    <w:rsid w:val="00206C8D"/>
    <w:rsid w:val="00242E63"/>
    <w:rsid w:val="00247FF8"/>
    <w:rsid w:val="00257DBB"/>
    <w:rsid w:val="00263B0B"/>
    <w:rsid w:val="0027734E"/>
    <w:rsid w:val="00294546"/>
    <w:rsid w:val="002B1089"/>
    <w:rsid w:val="002B6326"/>
    <w:rsid w:val="002C11F4"/>
    <w:rsid w:val="002C249A"/>
    <w:rsid w:val="002D2FC0"/>
    <w:rsid w:val="003013AF"/>
    <w:rsid w:val="0030269A"/>
    <w:rsid w:val="003225FF"/>
    <w:rsid w:val="0032437C"/>
    <w:rsid w:val="003249EF"/>
    <w:rsid w:val="00335FCE"/>
    <w:rsid w:val="00345B4B"/>
    <w:rsid w:val="00346EE0"/>
    <w:rsid w:val="0035111E"/>
    <w:rsid w:val="003560D3"/>
    <w:rsid w:val="003C3948"/>
    <w:rsid w:val="003D51F8"/>
    <w:rsid w:val="003E3EFC"/>
    <w:rsid w:val="003E5DDB"/>
    <w:rsid w:val="003F4FDF"/>
    <w:rsid w:val="00403AF1"/>
    <w:rsid w:val="00405D08"/>
    <w:rsid w:val="00416D78"/>
    <w:rsid w:val="004311AE"/>
    <w:rsid w:val="00446C83"/>
    <w:rsid w:val="0047253C"/>
    <w:rsid w:val="004806EA"/>
    <w:rsid w:val="004860B0"/>
    <w:rsid w:val="00492A67"/>
    <w:rsid w:val="00492C9B"/>
    <w:rsid w:val="00494626"/>
    <w:rsid w:val="004952F7"/>
    <w:rsid w:val="004A7DB3"/>
    <w:rsid w:val="004B59DF"/>
    <w:rsid w:val="004C246A"/>
    <w:rsid w:val="004C6755"/>
    <w:rsid w:val="004D35E0"/>
    <w:rsid w:val="004E1E6F"/>
    <w:rsid w:val="004F5D1F"/>
    <w:rsid w:val="004F6D40"/>
    <w:rsid w:val="00504B36"/>
    <w:rsid w:val="00505D8E"/>
    <w:rsid w:val="00507469"/>
    <w:rsid w:val="005078DF"/>
    <w:rsid w:val="00512EA9"/>
    <w:rsid w:val="0053027F"/>
    <w:rsid w:val="0054025D"/>
    <w:rsid w:val="0054652C"/>
    <w:rsid w:val="00562362"/>
    <w:rsid w:val="005637F1"/>
    <w:rsid w:val="00572B2C"/>
    <w:rsid w:val="005779D4"/>
    <w:rsid w:val="00590DB6"/>
    <w:rsid w:val="00591340"/>
    <w:rsid w:val="00594368"/>
    <w:rsid w:val="0059497E"/>
    <w:rsid w:val="005A3234"/>
    <w:rsid w:val="005A399B"/>
    <w:rsid w:val="005B7064"/>
    <w:rsid w:val="005C3549"/>
    <w:rsid w:val="005C7702"/>
    <w:rsid w:val="005D4949"/>
    <w:rsid w:val="005E0384"/>
    <w:rsid w:val="005E16DC"/>
    <w:rsid w:val="00607EE7"/>
    <w:rsid w:val="00611B8E"/>
    <w:rsid w:val="00615ACF"/>
    <w:rsid w:val="00633374"/>
    <w:rsid w:val="0063550F"/>
    <w:rsid w:val="00664C92"/>
    <w:rsid w:val="006762DB"/>
    <w:rsid w:val="00686557"/>
    <w:rsid w:val="00690E6E"/>
    <w:rsid w:val="00695A01"/>
    <w:rsid w:val="00697C74"/>
    <w:rsid w:val="006B2C30"/>
    <w:rsid w:val="006C0BDD"/>
    <w:rsid w:val="006C1287"/>
    <w:rsid w:val="006D1775"/>
    <w:rsid w:val="006D46E6"/>
    <w:rsid w:val="006D5C95"/>
    <w:rsid w:val="006E4DE2"/>
    <w:rsid w:val="007157A1"/>
    <w:rsid w:val="00721691"/>
    <w:rsid w:val="00722BFD"/>
    <w:rsid w:val="00744FD0"/>
    <w:rsid w:val="00745A3E"/>
    <w:rsid w:val="007551A1"/>
    <w:rsid w:val="00761D01"/>
    <w:rsid w:val="00762763"/>
    <w:rsid w:val="00767C41"/>
    <w:rsid w:val="007A30C0"/>
    <w:rsid w:val="007B1D6B"/>
    <w:rsid w:val="007B2087"/>
    <w:rsid w:val="007B41B8"/>
    <w:rsid w:val="007B4DFE"/>
    <w:rsid w:val="007C07F6"/>
    <w:rsid w:val="007C081F"/>
    <w:rsid w:val="007C49C7"/>
    <w:rsid w:val="007C5FCF"/>
    <w:rsid w:val="007D4D78"/>
    <w:rsid w:val="007E7AEE"/>
    <w:rsid w:val="007F552F"/>
    <w:rsid w:val="0080705D"/>
    <w:rsid w:val="00812EDC"/>
    <w:rsid w:val="0084021B"/>
    <w:rsid w:val="00842D96"/>
    <w:rsid w:val="00843E6E"/>
    <w:rsid w:val="00844B0C"/>
    <w:rsid w:val="008455DE"/>
    <w:rsid w:val="00850139"/>
    <w:rsid w:val="00855A5A"/>
    <w:rsid w:val="00861A8F"/>
    <w:rsid w:val="008743C0"/>
    <w:rsid w:val="00877F3F"/>
    <w:rsid w:val="008817A2"/>
    <w:rsid w:val="00881A1D"/>
    <w:rsid w:val="00882B74"/>
    <w:rsid w:val="00887AD4"/>
    <w:rsid w:val="008913CD"/>
    <w:rsid w:val="00892259"/>
    <w:rsid w:val="008A2CB2"/>
    <w:rsid w:val="008A31F4"/>
    <w:rsid w:val="008A4FE7"/>
    <w:rsid w:val="008C1D9B"/>
    <w:rsid w:val="008D678F"/>
    <w:rsid w:val="008E077B"/>
    <w:rsid w:val="008E0F04"/>
    <w:rsid w:val="008F3710"/>
    <w:rsid w:val="008F4B66"/>
    <w:rsid w:val="00902FA3"/>
    <w:rsid w:val="00906F41"/>
    <w:rsid w:val="00917741"/>
    <w:rsid w:val="00920ED5"/>
    <w:rsid w:val="00921FA2"/>
    <w:rsid w:val="009515EA"/>
    <w:rsid w:val="00951A8C"/>
    <w:rsid w:val="009609EE"/>
    <w:rsid w:val="009613B1"/>
    <w:rsid w:val="009614B9"/>
    <w:rsid w:val="00963B97"/>
    <w:rsid w:val="009A0649"/>
    <w:rsid w:val="009A362B"/>
    <w:rsid w:val="009A4B45"/>
    <w:rsid w:val="009A73B7"/>
    <w:rsid w:val="009B0AB0"/>
    <w:rsid w:val="009B0FD1"/>
    <w:rsid w:val="009C369A"/>
    <w:rsid w:val="009C57E8"/>
    <w:rsid w:val="009C6BBE"/>
    <w:rsid w:val="009D1A64"/>
    <w:rsid w:val="009D3206"/>
    <w:rsid w:val="009F4B4D"/>
    <w:rsid w:val="00A07BA8"/>
    <w:rsid w:val="00A20A91"/>
    <w:rsid w:val="00A20D5D"/>
    <w:rsid w:val="00A20EDA"/>
    <w:rsid w:val="00A23DBC"/>
    <w:rsid w:val="00A4497D"/>
    <w:rsid w:val="00A57B6A"/>
    <w:rsid w:val="00A605C4"/>
    <w:rsid w:val="00A65F5D"/>
    <w:rsid w:val="00A71789"/>
    <w:rsid w:val="00A9027C"/>
    <w:rsid w:val="00A90C43"/>
    <w:rsid w:val="00A97CE8"/>
    <w:rsid w:val="00AA1D72"/>
    <w:rsid w:val="00AB7FA2"/>
    <w:rsid w:val="00AC612E"/>
    <w:rsid w:val="00AD2E06"/>
    <w:rsid w:val="00B10F2F"/>
    <w:rsid w:val="00B232B8"/>
    <w:rsid w:val="00B458C4"/>
    <w:rsid w:val="00B558D6"/>
    <w:rsid w:val="00B85FD4"/>
    <w:rsid w:val="00B86A17"/>
    <w:rsid w:val="00B93F98"/>
    <w:rsid w:val="00BC34F8"/>
    <w:rsid w:val="00BC63AA"/>
    <w:rsid w:val="00BD297D"/>
    <w:rsid w:val="00BD336A"/>
    <w:rsid w:val="00BD7E4E"/>
    <w:rsid w:val="00BE506C"/>
    <w:rsid w:val="00BF6F97"/>
    <w:rsid w:val="00C005D0"/>
    <w:rsid w:val="00C04ED3"/>
    <w:rsid w:val="00C22700"/>
    <w:rsid w:val="00C3067C"/>
    <w:rsid w:val="00C40D3D"/>
    <w:rsid w:val="00C41830"/>
    <w:rsid w:val="00C46B7A"/>
    <w:rsid w:val="00C51617"/>
    <w:rsid w:val="00C71E54"/>
    <w:rsid w:val="00C7206D"/>
    <w:rsid w:val="00C82759"/>
    <w:rsid w:val="00C855C1"/>
    <w:rsid w:val="00C876FF"/>
    <w:rsid w:val="00C90409"/>
    <w:rsid w:val="00CA3D08"/>
    <w:rsid w:val="00CA7DFB"/>
    <w:rsid w:val="00D15E5B"/>
    <w:rsid w:val="00D16564"/>
    <w:rsid w:val="00D21922"/>
    <w:rsid w:val="00D21C81"/>
    <w:rsid w:val="00D220CF"/>
    <w:rsid w:val="00D25132"/>
    <w:rsid w:val="00D26BBB"/>
    <w:rsid w:val="00D4649D"/>
    <w:rsid w:val="00D523A1"/>
    <w:rsid w:val="00D657EC"/>
    <w:rsid w:val="00D74D05"/>
    <w:rsid w:val="00D751C8"/>
    <w:rsid w:val="00D86540"/>
    <w:rsid w:val="00DA1426"/>
    <w:rsid w:val="00DA7E29"/>
    <w:rsid w:val="00DB33A4"/>
    <w:rsid w:val="00DB4969"/>
    <w:rsid w:val="00DB6CBF"/>
    <w:rsid w:val="00DC1D66"/>
    <w:rsid w:val="00DC636E"/>
    <w:rsid w:val="00DD0756"/>
    <w:rsid w:val="00DD60D4"/>
    <w:rsid w:val="00DE57DC"/>
    <w:rsid w:val="00DF3D35"/>
    <w:rsid w:val="00E166C8"/>
    <w:rsid w:val="00E24D1F"/>
    <w:rsid w:val="00E27BB4"/>
    <w:rsid w:val="00E352F8"/>
    <w:rsid w:val="00E619CE"/>
    <w:rsid w:val="00E70DBB"/>
    <w:rsid w:val="00E75C86"/>
    <w:rsid w:val="00E7702F"/>
    <w:rsid w:val="00E83BF8"/>
    <w:rsid w:val="00E841C8"/>
    <w:rsid w:val="00E84ACD"/>
    <w:rsid w:val="00E92CBC"/>
    <w:rsid w:val="00EB7F61"/>
    <w:rsid w:val="00EC2C90"/>
    <w:rsid w:val="00EC2FE7"/>
    <w:rsid w:val="00EC4725"/>
    <w:rsid w:val="00EC4EA4"/>
    <w:rsid w:val="00EC54E0"/>
    <w:rsid w:val="00EF2C92"/>
    <w:rsid w:val="00EF46FD"/>
    <w:rsid w:val="00F034F2"/>
    <w:rsid w:val="00F12DD3"/>
    <w:rsid w:val="00F26FCB"/>
    <w:rsid w:val="00F35169"/>
    <w:rsid w:val="00F374D8"/>
    <w:rsid w:val="00F4612F"/>
    <w:rsid w:val="00F46AA0"/>
    <w:rsid w:val="00F57ADF"/>
    <w:rsid w:val="00F60C12"/>
    <w:rsid w:val="00F74935"/>
    <w:rsid w:val="00F80D79"/>
    <w:rsid w:val="00F81BA7"/>
    <w:rsid w:val="00F9215B"/>
    <w:rsid w:val="00F9501E"/>
    <w:rsid w:val="00FA53C2"/>
    <w:rsid w:val="00FB6BFE"/>
    <w:rsid w:val="00FB7C2E"/>
    <w:rsid w:val="00FC4301"/>
    <w:rsid w:val="00FC442D"/>
    <w:rsid w:val="00FC4BCE"/>
    <w:rsid w:val="00FD3F48"/>
    <w:rsid w:val="00FD66EB"/>
    <w:rsid w:val="00FD7BAB"/>
    <w:rsid w:val="00FE4953"/>
    <w:rsid w:val="00FF375E"/>
    <w:rsid w:val="00FF65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63D0"/>
  <w15:chartTrackingRefBased/>
  <w15:docId w15:val="{121E3844-B86D-47D8-B483-86F7FEC5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97E"/>
    <w:pPr>
      <w:spacing w:line="259" w:lineRule="auto"/>
    </w:pPr>
    <w:rPr>
      <w:sz w:val="22"/>
      <w:szCs w:val="22"/>
    </w:rPr>
  </w:style>
  <w:style w:type="paragraph" w:styleId="Heading1">
    <w:name w:val="heading 1"/>
    <w:basedOn w:val="Normal"/>
    <w:next w:val="Normal"/>
    <w:link w:val="Heading1Char"/>
    <w:uiPriority w:val="9"/>
    <w:qFormat/>
    <w:rsid w:val="00874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3C0"/>
    <w:rPr>
      <w:rFonts w:eastAsiaTheme="majorEastAsia" w:cstheme="majorBidi"/>
      <w:color w:val="272727" w:themeColor="text1" w:themeTint="D8"/>
    </w:rPr>
  </w:style>
  <w:style w:type="paragraph" w:styleId="Title">
    <w:name w:val="Title"/>
    <w:basedOn w:val="Normal"/>
    <w:next w:val="Normal"/>
    <w:link w:val="TitleChar"/>
    <w:uiPriority w:val="10"/>
    <w:qFormat/>
    <w:rsid w:val="00874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3C0"/>
    <w:pPr>
      <w:spacing w:before="160"/>
      <w:jc w:val="center"/>
    </w:pPr>
    <w:rPr>
      <w:i/>
      <w:iCs/>
      <w:color w:val="404040" w:themeColor="text1" w:themeTint="BF"/>
    </w:rPr>
  </w:style>
  <w:style w:type="character" w:customStyle="1" w:styleId="QuoteChar">
    <w:name w:val="Quote Char"/>
    <w:basedOn w:val="DefaultParagraphFont"/>
    <w:link w:val="Quote"/>
    <w:uiPriority w:val="29"/>
    <w:rsid w:val="008743C0"/>
    <w:rPr>
      <w:i/>
      <w:iCs/>
      <w:color w:val="404040" w:themeColor="text1" w:themeTint="BF"/>
    </w:rPr>
  </w:style>
  <w:style w:type="paragraph" w:styleId="ListParagraph">
    <w:name w:val="List Paragraph"/>
    <w:basedOn w:val="Normal"/>
    <w:uiPriority w:val="34"/>
    <w:qFormat/>
    <w:rsid w:val="008743C0"/>
    <w:pPr>
      <w:ind w:left="720"/>
      <w:contextualSpacing/>
    </w:pPr>
  </w:style>
  <w:style w:type="character" w:styleId="IntenseEmphasis">
    <w:name w:val="Intense Emphasis"/>
    <w:basedOn w:val="DefaultParagraphFont"/>
    <w:uiPriority w:val="21"/>
    <w:qFormat/>
    <w:rsid w:val="008743C0"/>
    <w:rPr>
      <w:i/>
      <w:iCs/>
      <w:color w:val="0F4761" w:themeColor="accent1" w:themeShade="BF"/>
    </w:rPr>
  </w:style>
  <w:style w:type="paragraph" w:styleId="IntenseQuote">
    <w:name w:val="Intense Quote"/>
    <w:basedOn w:val="Normal"/>
    <w:next w:val="Normal"/>
    <w:link w:val="IntenseQuoteChar"/>
    <w:uiPriority w:val="30"/>
    <w:qFormat/>
    <w:rsid w:val="00874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3C0"/>
    <w:rPr>
      <w:i/>
      <w:iCs/>
      <w:color w:val="0F4761" w:themeColor="accent1" w:themeShade="BF"/>
    </w:rPr>
  </w:style>
  <w:style w:type="character" w:styleId="IntenseReference">
    <w:name w:val="Intense Reference"/>
    <w:basedOn w:val="DefaultParagraphFont"/>
    <w:uiPriority w:val="32"/>
    <w:qFormat/>
    <w:rsid w:val="008743C0"/>
    <w:rPr>
      <w:b/>
      <w:bCs/>
      <w:smallCaps/>
      <w:color w:val="0F4761" w:themeColor="accent1" w:themeShade="BF"/>
      <w:spacing w:val="5"/>
    </w:rPr>
  </w:style>
  <w:style w:type="paragraph" w:styleId="NoSpacing">
    <w:name w:val="No Spacing"/>
    <w:uiPriority w:val="1"/>
    <w:qFormat/>
    <w:rsid w:val="008743C0"/>
    <w:pPr>
      <w:spacing w:after="0" w:line="240" w:lineRule="auto"/>
    </w:pPr>
  </w:style>
  <w:style w:type="paragraph" w:styleId="FootnoteText">
    <w:name w:val="footnote text"/>
    <w:basedOn w:val="Normal"/>
    <w:link w:val="FootnoteTextChar"/>
    <w:uiPriority w:val="99"/>
    <w:semiHidden/>
    <w:unhideWhenUsed/>
    <w:rsid w:val="00BD33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336A"/>
    <w:rPr>
      <w:sz w:val="20"/>
      <w:szCs w:val="20"/>
    </w:rPr>
  </w:style>
  <w:style w:type="character" w:styleId="FootnoteReference">
    <w:name w:val="footnote reference"/>
    <w:basedOn w:val="DefaultParagraphFont"/>
    <w:uiPriority w:val="99"/>
    <w:semiHidden/>
    <w:unhideWhenUsed/>
    <w:rsid w:val="00BD336A"/>
    <w:rPr>
      <w:vertAlign w:val="superscript"/>
    </w:rPr>
  </w:style>
  <w:style w:type="character" w:styleId="Hyperlink">
    <w:name w:val="Hyperlink"/>
    <w:basedOn w:val="DefaultParagraphFont"/>
    <w:uiPriority w:val="99"/>
    <w:unhideWhenUsed/>
    <w:rsid w:val="00A20EDA"/>
    <w:rPr>
      <w:color w:val="467886" w:themeColor="hyperlink"/>
      <w:u w:val="single"/>
    </w:rPr>
  </w:style>
  <w:style w:type="character" w:styleId="UnresolvedMention">
    <w:name w:val="Unresolved Mention"/>
    <w:basedOn w:val="DefaultParagraphFont"/>
    <w:uiPriority w:val="99"/>
    <w:semiHidden/>
    <w:unhideWhenUsed/>
    <w:rsid w:val="00A20EDA"/>
    <w:rPr>
      <w:color w:val="605E5C"/>
      <w:shd w:val="clear" w:color="auto" w:fill="E1DFDD"/>
    </w:rPr>
  </w:style>
  <w:style w:type="character" w:styleId="CommentReference">
    <w:name w:val="annotation reference"/>
    <w:basedOn w:val="DefaultParagraphFont"/>
    <w:uiPriority w:val="99"/>
    <w:semiHidden/>
    <w:unhideWhenUsed/>
    <w:rsid w:val="00861A8F"/>
    <w:rPr>
      <w:sz w:val="16"/>
      <w:szCs w:val="16"/>
    </w:rPr>
  </w:style>
  <w:style w:type="paragraph" w:styleId="CommentText">
    <w:name w:val="annotation text"/>
    <w:basedOn w:val="Normal"/>
    <w:link w:val="CommentTextChar"/>
    <w:uiPriority w:val="99"/>
    <w:unhideWhenUsed/>
    <w:rsid w:val="00861A8F"/>
    <w:pPr>
      <w:spacing w:line="240" w:lineRule="auto"/>
    </w:pPr>
    <w:rPr>
      <w:sz w:val="20"/>
      <w:szCs w:val="20"/>
    </w:rPr>
  </w:style>
  <w:style w:type="character" w:customStyle="1" w:styleId="CommentTextChar">
    <w:name w:val="Comment Text Char"/>
    <w:basedOn w:val="DefaultParagraphFont"/>
    <w:link w:val="CommentText"/>
    <w:uiPriority w:val="99"/>
    <w:rsid w:val="00861A8F"/>
    <w:rPr>
      <w:sz w:val="20"/>
      <w:szCs w:val="20"/>
    </w:rPr>
  </w:style>
  <w:style w:type="paragraph" w:styleId="CommentSubject">
    <w:name w:val="annotation subject"/>
    <w:basedOn w:val="CommentText"/>
    <w:next w:val="CommentText"/>
    <w:link w:val="CommentSubjectChar"/>
    <w:uiPriority w:val="99"/>
    <w:semiHidden/>
    <w:unhideWhenUsed/>
    <w:rsid w:val="00861A8F"/>
    <w:rPr>
      <w:b/>
      <w:bCs/>
    </w:rPr>
  </w:style>
  <w:style w:type="character" w:customStyle="1" w:styleId="CommentSubjectChar">
    <w:name w:val="Comment Subject Char"/>
    <w:basedOn w:val="CommentTextChar"/>
    <w:link w:val="CommentSubject"/>
    <w:uiPriority w:val="99"/>
    <w:semiHidden/>
    <w:rsid w:val="00861A8F"/>
    <w:rPr>
      <w:b/>
      <w:bCs/>
      <w:sz w:val="20"/>
      <w:szCs w:val="20"/>
    </w:rPr>
  </w:style>
  <w:style w:type="character" w:styleId="Mention">
    <w:name w:val="Mention"/>
    <w:basedOn w:val="DefaultParagraphFont"/>
    <w:uiPriority w:val="99"/>
    <w:unhideWhenUsed/>
    <w:rsid w:val="00861A8F"/>
    <w:rPr>
      <w:color w:val="2B579A"/>
      <w:shd w:val="clear" w:color="auto" w:fill="E1DFDD"/>
    </w:rPr>
  </w:style>
  <w:style w:type="character" w:styleId="FollowedHyperlink">
    <w:name w:val="FollowedHyperlink"/>
    <w:basedOn w:val="DefaultParagraphFont"/>
    <w:uiPriority w:val="99"/>
    <w:semiHidden/>
    <w:unhideWhenUsed/>
    <w:rsid w:val="00156F56"/>
    <w:rPr>
      <w:color w:val="96607D" w:themeColor="followedHyperlink"/>
      <w:u w:val="single"/>
    </w:rPr>
  </w:style>
  <w:style w:type="paragraph" w:styleId="Header">
    <w:name w:val="header"/>
    <w:basedOn w:val="Normal"/>
    <w:link w:val="HeaderChar"/>
    <w:uiPriority w:val="99"/>
    <w:semiHidden/>
    <w:unhideWhenUsed/>
    <w:rsid w:val="00FB6B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6BFE"/>
    <w:rPr>
      <w:sz w:val="22"/>
      <w:szCs w:val="22"/>
    </w:rPr>
  </w:style>
  <w:style w:type="paragraph" w:styleId="Footer">
    <w:name w:val="footer"/>
    <w:basedOn w:val="Normal"/>
    <w:link w:val="FooterChar"/>
    <w:uiPriority w:val="99"/>
    <w:semiHidden/>
    <w:unhideWhenUsed/>
    <w:rsid w:val="00FB6B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6BFE"/>
    <w:rPr>
      <w:sz w:val="22"/>
      <w:szCs w:val="22"/>
    </w:rPr>
  </w:style>
  <w:style w:type="paragraph" w:styleId="NormalWeb">
    <w:name w:val="Normal (Web)"/>
    <w:basedOn w:val="Normal"/>
    <w:uiPriority w:val="99"/>
    <w:semiHidden/>
    <w:unhideWhenUsed/>
    <w:rsid w:val="00906F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354">
      <w:bodyDiv w:val="1"/>
      <w:marLeft w:val="0"/>
      <w:marRight w:val="0"/>
      <w:marTop w:val="0"/>
      <w:marBottom w:val="0"/>
      <w:divBdr>
        <w:top w:val="none" w:sz="0" w:space="0" w:color="auto"/>
        <w:left w:val="none" w:sz="0" w:space="0" w:color="auto"/>
        <w:bottom w:val="none" w:sz="0" w:space="0" w:color="auto"/>
        <w:right w:val="none" w:sz="0" w:space="0" w:color="auto"/>
      </w:divBdr>
    </w:div>
    <w:div w:id="334963166">
      <w:bodyDiv w:val="1"/>
      <w:marLeft w:val="0"/>
      <w:marRight w:val="0"/>
      <w:marTop w:val="0"/>
      <w:marBottom w:val="0"/>
      <w:divBdr>
        <w:top w:val="none" w:sz="0" w:space="0" w:color="auto"/>
        <w:left w:val="none" w:sz="0" w:space="0" w:color="auto"/>
        <w:bottom w:val="none" w:sz="0" w:space="0" w:color="auto"/>
        <w:right w:val="none" w:sz="0" w:space="0" w:color="auto"/>
      </w:divBdr>
    </w:div>
    <w:div w:id="340550550">
      <w:bodyDiv w:val="1"/>
      <w:marLeft w:val="0"/>
      <w:marRight w:val="0"/>
      <w:marTop w:val="0"/>
      <w:marBottom w:val="0"/>
      <w:divBdr>
        <w:top w:val="none" w:sz="0" w:space="0" w:color="auto"/>
        <w:left w:val="none" w:sz="0" w:space="0" w:color="auto"/>
        <w:bottom w:val="none" w:sz="0" w:space="0" w:color="auto"/>
        <w:right w:val="none" w:sz="0" w:space="0" w:color="auto"/>
      </w:divBdr>
    </w:div>
    <w:div w:id="356808331">
      <w:bodyDiv w:val="1"/>
      <w:marLeft w:val="0"/>
      <w:marRight w:val="0"/>
      <w:marTop w:val="0"/>
      <w:marBottom w:val="0"/>
      <w:divBdr>
        <w:top w:val="none" w:sz="0" w:space="0" w:color="auto"/>
        <w:left w:val="none" w:sz="0" w:space="0" w:color="auto"/>
        <w:bottom w:val="none" w:sz="0" w:space="0" w:color="auto"/>
        <w:right w:val="none" w:sz="0" w:space="0" w:color="auto"/>
      </w:divBdr>
    </w:div>
    <w:div w:id="842284891">
      <w:bodyDiv w:val="1"/>
      <w:marLeft w:val="0"/>
      <w:marRight w:val="0"/>
      <w:marTop w:val="0"/>
      <w:marBottom w:val="0"/>
      <w:divBdr>
        <w:top w:val="none" w:sz="0" w:space="0" w:color="auto"/>
        <w:left w:val="none" w:sz="0" w:space="0" w:color="auto"/>
        <w:bottom w:val="none" w:sz="0" w:space="0" w:color="auto"/>
        <w:right w:val="none" w:sz="0" w:space="0" w:color="auto"/>
      </w:divBdr>
    </w:div>
    <w:div w:id="922644451">
      <w:bodyDiv w:val="1"/>
      <w:marLeft w:val="0"/>
      <w:marRight w:val="0"/>
      <w:marTop w:val="0"/>
      <w:marBottom w:val="0"/>
      <w:divBdr>
        <w:top w:val="none" w:sz="0" w:space="0" w:color="auto"/>
        <w:left w:val="none" w:sz="0" w:space="0" w:color="auto"/>
        <w:bottom w:val="none" w:sz="0" w:space="0" w:color="auto"/>
        <w:right w:val="none" w:sz="0" w:space="0" w:color="auto"/>
      </w:divBdr>
    </w:div>
    <w:div w:id="1008366130">
      <w:bodyDiv w:val="1"/>
      <w:marLeft w:val="0"/>
      <w:marRight w:val="0"/>
      <w:marTop w:val="0"/>
      <w:marBottom w:val="0"/>
      <w:divBdr>
        <w:top w:val="none" w:sz="0" w:space="0" w:color="auto"/>
        <w:left w:val="none" w:sz="0" w:space="0" w:color="auto"/>
        <w:bottom w:val="none" w:sz="0" w:space="0" w:color="auto"/>
        <w:right w:val="none" w:sz="0" w:space="0" w:color="auto"/>
      </w:divBdr>
    </w:div>
    <w:div w:id="1053891323">
      <w:bodyDiv w:val="1"/>
      <w:marLeft w:val="0"/>
      <w:marRight w:val="0"/>
      <w:marTop w:val="0"/>
      <w:marBottom w:val="0"/>
      <w:divBdr>
        <w:top w:val="none" w:sz="0" w:space="0" w:color="auto"/>
        <w:left w:val="none" w:sz="0" w:space="0" w:color="auto"/>
        <w:bottom w:val="none" w:sz="0" w:space="0" w:color="auto"/>
        <w:right w:val="none" w:sz="0" w:space="0" w:color="auto"/>
      </w:divBdr>
    </w:div>
    <w:div w:id="1300376871">
      <w:bodyDiv w:val="1"/>
      <w:marLeft w:val="0"/>
      <w:marRight w:val="0"/>
      <w:marTop w:val="0"/>
      <w:marBottom w:val="0"/>
      <w:divBdr>
        <w:top w:val="none" w:sz="0" w:space="0" w:color="auto"/>
        <w:left w:val="none" w:sz="0" w:space="0" w:color="auto"/>
        <w:bottom w:val="none" w:sz="0" w:space="0" w:color="auto"/>
        <w:right w:val="none" w:sz="0" w:space="0" w:color="auto"/>
      </w:divBdr>
    </w:div>
    <w:div w:id="1330517634">
      <w:bodyDiv w:val="1"/>
      <w:marLeft w:val="0"/>
      <w:marRight w:val="0"/>
      <w:marTop w:val="0"/>
      <w:marBottom w:val="0"/>
      <w:divBdr>
        <w:top w:val="none" w:sz="0" w:space="0" w:color="auto"/>
        <w:left w:val="none" w:sz="0" w:space="0" w:color="auto"/>
        <w:bottom w:val="none" w:sz="0" w:space="0" w:color="auto"/>
        <w:right w:val="none" w:sz="0" w:space="0" w:color="auto"/>
      </w:divBdr>
    </w:div>
    <w:div w:id="152216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1.jpg@01D18035.27A2AE90" TargetMode="External"/><Relationship Id="rId18" Type="http://schemas.openxmlformats.org/officeDocument/2006/relationships/image" Target="media/image10.jpe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cid:image007.png@01DBBDA1.A7F1D630"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cid:image007.png@01DB96BD.FF9B8850"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info.legislature.ca.gov/faces/billAnalysisClient.xhtml?bill_id=202120220SB502" TargetMode="External"/><Relationship Id="rId2" Type="http://schemas.openxmlformats.org/officeDocument/2006/relationships/hyperlink" Target="https://bcp.dof.ca.gov/2223/FY2223_ORG3960_BCP5200.pdf" TargetMode="External"/><Relationship Id="rId1" Type="http://schemas.openxmlformats.org/officeDocument/2006/relationships/hyperlink" Target="https://govt.westlaw.com/calregs/Document/IAEA09E895B6111EC9451000D3A7C4BC3?viewType=FullText&amp;originationContext=documenttoc&amp;transitionType=CategoryPageItem&amp;contextData=(sc.Default)&amp;bhcp=1" TargetMode="External"/><Relationship Id="rId6" Type="http://schemas.openxmlformats.org/officeDocument/2006/relationships/hyperlink" Target="https://govt.westlaw.com/calregs/Document/IAE117DE75B6111EC9451000D3A7C4BC3?viewType=FullText&amp;originationContext=documenttoc&amp;transitionType=CategoryPageItem&amp;contextData=(sc.Default)" TargetMode="External"/><Relationship Id="rId5" Type="http://schemas.openxmlformats.org/officeDocument/2006/relationships/hyperlink" Target="https://dtsc.ca.gov/wp-content/uploads/sites/31/2024/10/2024-2026-Priority-Product-Work-Plan.pdf" TargetMode="External"/><Relationship Id="rId4" Type="http://schemas.openxmlformats.org/officeDocument/2006/relationships/hyperlink" Target="https://calsafer.dtsc.ca.gov/cms/commentpackage/?rid=127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A9023-5022-4F0E-8032-67518AFFE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1124</Words>
  <Characters>6407</Characters>
  <Application>Microsoft Office Word</Application>
  <DocSecurity>0</DocSecurity>
  <Lines>53</Lines>
  <Paragraphs>15</Paragraphs>
  <ScaleCrop>false</ScaleCrop>
  <Company>American Chemistry Council</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Shestek, Tim</dc:creator>
  <cp:keywords/>
  <dc:description/>
  <cp:lastModifiedBy>Shestek, Tim</cp:lastModifiedBy>
  <cp:revision>46</cp:revision>
  <dcterms:created xsi:type="dcterms:W3CDTF">2025-06-23T00:40:00Z</dcterms:created>
  <dcterms:modified xsi:type="dcterms:W3CDTF">2025-06-23T01:11:00Z</dcterms:modified>
</cp:coreProperties>
</file>